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2E38"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t>   </w:t>
      </w:r>
    </w:p>
    <w:p w14:paraId="4FD118AC"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b/>
          <w:bCs/>
          <w:sz w:val="24"/>
          <w:szCs w:val="24"/>
        </w:rPr>
        <w:t xml:space="preserve">Sens. Markey, Baldwin, Rep. Carter Announce Legislation to Protect Public TV Channels </w:t>
      </w:r>
    </w:p>
    <w:p w14:paraId="23AC61EB" w14:textId="77777777" w:rsidR="00F95DCF" w:rsidRPr="00F95DCF" w:rsidRDefault="00F95DCF" w:rsidP="00F95DCF">
      <w:pPr>
        <w:spacing w:after="0" w:line="240" w:lineRule="auto"/>
        <w:rPr>
          <w:rFonts w:ascii="Times New Roman" w:hAnsi="Times New Roman" w:cs="Times New Roman"/>
          <w:sz w:val="24"/>
          <w:szCs w:val="24"/>
        </w:rPr>
      </w:pPr>
    </w:p>
    <w:p w14:paraId="27352946" w14:textId="77777777" w:rsidR="00F95DCF" w:rsidRPr="00F95DCF" w:rsidRDefault="00F95DCF" w:rsidP="00F95DCF">
      <w:pPr>
        <w:spacing w:after="0" w:line="240" w:lineRule="auto"/>
        <w:rPr>
          <w:rFonts w:ascii="Times New Roman" w:hAnsi="Times New Roman" w:cs="Times New Roman"/>
          <w:i/>
          <w:iCs/>
          <w:sz w:val="24"/>
          <w:szCs w:val="24"/>
        </w:rPr>
      </w:pPr>
      <w:hyperlink r:id="rId6" w:history="1">
        <w:r w:rsidRPr="00F95DCF">
          <w:rPr>
            <w:rStyle w:val="Hyperlink"/>
            <w:rFonts w:ascii="Times New Roman" w:hAnsi="Times New Roman" w:cs="Times New Roman"/>
            <w:i/>
            <w:iCs/>
            <w:sz w:val="24"/>
            <w:szCs w:val="24"/>
          </w:rPr>
          <w:t>Bill Text (PDF)</w:t>
        </w:r>
      </w:hyperlink>
    </w:p>
    <w:p w14:paraId="3D7D1F0C" w14:textId="77777777" w:rsidR="00F95DCF" w:rsidRPr="00F95DCF" w:rsidRDefault="00F95DCF" w:rsidP="00F95DCF">
      <w:pPr>
        <w:spacing w:after="0" w:line="240" w:lineRule="auto"/>
        <w:rPr>
          <w:rFonts w:ascii="Times New Roman" w:hAnsi="Times New Roman" w:cs="Times New Roman"/>
          <w:sz w:val="24"/>
          <w:szCs w:val="24"/>
        </w:rPr>
      </w:pPr>
    </w:p>
    <w:p w14:paraId="041CE72E"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t xml:space="preserve">Washington (June 5, 2025) – Senators Edward J. Markey (D-Mass.), a member of the Senate Commerce, Science, and Transportation Committee, and Tammy Baldwin (D-Wisc.) and Representative Troy A. Carter Sr. (LA-02), member of the House Energy &amp; Commerce Committee, today announced the introduction of the </w:t>
      </w:r>
      <w:r w:rsidRPr="00F95DCF">
        <w:rPr>
          <w:rFonts w:ascii="Times New Roman" w:hAnsi="Times New Roman" w:cs="Times New Roman"/>
          <w:i/>
          <w:iCs/>
          <w:sz w:val="24"/>
          <w:szCs w:val="24"/>
        </w:rPr>
        <w:t>Protecting Community Television Act</w:t>
      </w:r>
      <w:r w:rsidRPr="00F95DCF">
        <w:rPr>
          <w:rFonts w:ascii="Times New Roman" w:hAnsi="Times New Roman" w:cs="Times New Roman"/>
          <w:sz w:val="24"/>
          <w:szCs w:val="24"/>
        </w:rPr>
        <w:t xml:space="preserve">, legislation that would undo rulemaking from the first Trump administration’s Federal Communications Commission (FCC) that effectively limited the resources available for public, educational, and government (PEG) channels. </w:t>
      </w:r>
    </w:p>
    <w:p w14:paraId="63DD7EB0" w14:textId="77777777" w:rsidR="00F95DCF" w:rsidRPr="00F95DCF" w:rsidRDefault="00F95DCF" w:rsidP="00F95DCF">
      <w:pPr>
        <w:spacing w:after="0" w:line="240" w:lineRule="auto"/>
        <w:rPr>
          <w:rFonts w:ascii="Times New Roman" w:hAnsi="Times New Roman" w:cs="Times New Roman"/>
          <w:sz w:val="24"/>
          <w:szCs w:val="24"/>
        </w:rPr>
      </w:pPr>
    </w:p>
    <w:p w14:paraId="435221DE"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t xml:space="preserve">Under the </w:t>
      </w:r>
      <w:r w:rsidRPr="00F95DCF">
        <w:rPr>
          <w:rFonts w:ascii="Times New Roman" w:hAnsi="Times New Roman" w:cs="Times New Roman"/>
          <w:i/>
          <w:iCs/>
          <w:sz w:val="24"/>
          <w:szCs w:val="24"/>
        </w:rPr>
        <w:t>Communications Act</w:t>
      </w:r>
      <w:r w:rsidRPr="00F95DCF">
        <w:rPr>
          <w:rFonts w:ascii="Times New Roman" w:hAnsi="Times New Roman" w:cs="Times New Roman"/>
          <w:sz w:val="24"/>
          <w:szCs w:val="24"/>
        </w:rPr>
        <w:t>, cable companies negotiate franchise agreements with local governments to provide cable services in a community. The Act caps franchise fees that a cable company pays to the local government at 5% of revenue. This revenue helps fund PEG stations, as well as other community services such as public libraries and emergency responders. In addition, cable companies historically paid up to 5% cap and provided additional, in-kind support to the community, such as free cable service to schools or access to building studios. In 2019, the FCC issued a new rule that counted those in-kind contributions towards the 5% cap, meaning cable companies could reduce their cash payments by claiming the value of those services. With fewer cash resources, local governments were forced to choose between investing in PEG programming or supporting other public services. The result has been less funding for PEG stations.</w:t>
      </w:r>
      <w:r w:rsidRPr="00F95DCF">
        <w:rPr>
          <w:rFonts w:ascii="Times New Roman" w:hAnsi="Times New Roman" w:cs="Times New Roman"/>
          <w:sz w:val="24"/>
          <w:szCs w:val="24"/>
        </w:rPr>
        <w:br/>
      </w:r>
      <w:r w:rsidRPr="00F95DCF">
        <w:rPr>
          <w:rFonts w:ascii="Times New Roman" w:hAnsi="Times New Roman" w:cs="Times New Roman"/>
          <w:sz w:val="24"/>
          <w:szCs w:val="24"/>
        </w:rPr>
        <w:br/>
        <w:t xml:space="preserve">“Millions of Americans rely on community television to keep up with the news that matters most to them, stay plugged into enriching, educational programming, and hold their local governments to account. But the Trump administration has forced communities across the country to pull the plug on public programming,” </w:t>
      </w:r>
      <w:r w:rsidRPr="00F95DCF">
        <w:rPr>
          <w:rFonts w:ascii="Times New Roman" w:hAnsi="Times New Roman" w:cs="Times New Roman"/>
          <w:b/>
          <w:bCs/>
          <w:sz w:val="24"/>
          <w:szCs w:val="24"/>
        </w:rPr>
        <w:t>said Senator Markey</w:t>
      </w:r>
      <w:r w:rsidRPr="00F95DCF">
        <w:rPr>
          <w:rFonts w:ascii="Times New Roman" w:hAnsi="Times New Roman" w:cs="Times New Roman"/>
          <w:sz w:val="24"/>
          <w:szCs w:val="24"/>
        </w:rPr>
        <w:t xml:space="preserve">. “At a time when news and media have become more consolidated than ever before, I am proud to partner with Senator Baldwin and Representative Carter to reintroduce the </w:t>
      </w:r>
      <w:r w:rsidRPr="00F95DCF">
        <w:rPr>
          <w:rFonts w:ascii="Times New Roman" w:hAnsi="Times New Roman" w:cs="Times New Roman"/>
          <w:i/>
          <w:iCs/>
          <w:sz w:val="24"/>
          <w:szCs w:val="24"/>
        </w:rPr>
        <w:t>Protecting Community Television Act</w:t>
      </w:r>
      <w:r w:rsidRPr="00F95DCF">
        <w:rPr>
          <w:rFonts w:ascii="Times New Roman" w:hAnsi="Times New Roman" w:cs="Times New Roman"/>
          <w:sz w:val="24"/>
          <w:szCs w:val="24"/>
        </w:rPr>
        <w:t xml:space="preserve"> to uphold local access to public, education, and government channels for every household in our country.”</w:t>
      </w:r>
    </w:p>
    <w:p w14:paraId="40EA2C1F" w14:textId="77777777" w:rsidR="00F95DCF" w:rsidRPr="00F95DCF" w:rsidRDefault="00F95DCF" w:rsidP="00F95DCF">
      <w:pPr>
        <w:spacing w:after="0" w:line="240" w:lineRule="auto"/>
        <w:rPr>
          <w:rFonts w:ascii="Times New Roman" w:hAnsi="Times New Roman" w:cs="Times New Roman"/>
          <w:sz w:val="24"/>
          <w:szCs w:val="24"/>
        </w:rPr>
      </w:pPr>
    </w:p>
    <w:p w14:paraId="72AB7F5E"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t xml:space="preserve">“I’m proud to cosponsor this bill and stand with communities that depend on local media to stay informed, connected, and heard. PEG channels are lifelines for civic engagement and public education, especially in times of crisis, and they shouldn’t be collateral damage in a corporate accounting maneuver. This legislation restores the original promise Congress made: that local governments should have the tools they need to meet community needs without being forced to choose between vital services and local voices,” </w:t>
      </w:r>
      <w:r w:rsidRPr="00F95DCF">
        <w:rPr>
          <w:rFonts w:ascii="Times New Roman" w:hAnsi="Times New Roman" w:cs="Times New Roman"/>
          <w:b/>
          <w:bCs/>
          <w:sz w:val="24"/>
          <w:szCs w:val="24"/>
        </w:rPr>
        <w:t>said Congressman Carter</w:t>
      </w:r>
      <w:r w:rsidRPr="00F95DCF">
        <w:rPr>
          <w:rFonts w:ascii="Times New Roman" w:hAnsi="Times New Roman" w:cs="Times New Roman"/>
          <w:sz w:val="24"/>
          <w:szCs w:val="24"/>
        </w:rPr>
        <w:t>.</w:t>
      </w:r>
    </w:p>
    <w:p w14:paraId="38423EBF" w14:textId="77777777" w:rsidR="00F95DCF" w:rsidRPr="00F95DCF" w:rsidRDefault="00F95DCF" w:rsidP="00F95DCF">
      <w:pPr>
        <w:spacing w:after="0" w:line="240" w:lineRule="auto"/>
        <w:rPr>
          <w:rFonts w:ascii="Times New Roman" w:hAnsi="Times New Roman" w:cs="Times New Roman"/>
          <w:sz w:val="24"/>
          <w:szCs w:val="24"/>
        </w:rPr>
      </w:pPr>
    </w:p>
    <w:p w14:paraId="606DFA21"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t xml:space="preserve">The legislation is endorsed by Democratic Leader Schumer (D-N.Y), and Senators Richard Blumenthal (D-Conn.), Mazie Hirono (D-Hawaii), Angus King (I-Me.), Amy Klobuchar (D-Minn.), Jeff Merkley (D-Ore.), Chris Murphy (D-Conn.), Bernie Sanders (I-Vt.), Brian Schatz (D-Hawaii), Jeanne Shaheen (D-N.H.), Tina Smith (D-Minn.), Elizabeth Warren (D-Mass.), Peter Welch (D-Vt.), Ron Wyden (D-Ore.), Cory Booker (D-N.J.), Kirsten Gillibrand (D-N.Y.), Chris Van Hollen (D-Md.), and Alex Padilla (D-Calif.). </w:t>
      </w:r>
      <w:r w:rsidRPr="00F95DCF">
        <w:rPr>
          <w:rFonts w:ascii="Times New Roman" w:hAnsi="Times New Roman" w:cs="Times New Roman"/>
          <w:sz w:val="24"/>
          <w:szCs w:val="24"/>
        </w:rPr>
        <w:br/>
      </w:r>
      <w:r w:rsidRPr="00F95DCF">
        <w:rPr>
          <w:rFonts w:ascii="Times New Roman" w:hAnsi="Times New Roman" w:cs="Times New Roman"/>
          <w:sz w:val="24"/>
          <w:szCs w:val="24"/>
        </w:rPr>
        <w:lastRenderedPageBreak/>
        <w:br/>
        <w:t xml:space="preserve">The </w:t>
      </w:r>
      <w:r w:rsidRPr="00F95DCF">
        <w:rPr>
          <w:rFonts w:ascii="Times New Roman" w:hAnsi="Times New Roman" w:cs="Times New Roman"/>
          <w:i/>
          <w:iCs/>
          <w:sz w:val="24"/>
          <w:szCs w:val="24"/>
        </w:rPr>
        <w:t>Protecting Community Television Act</w:t>
      </w:r>
      <w:r w:rsidRPr="00F95DCF">
        <w:rPr>
          <w:rFonts w:ascii="Times New Roman" w:hAnsi="Times New Roman" w:cs="Times New Roman"/>
          <w:sz w:val="24"/>
          <w:szCs w:val="24"/>
        </w:rPr>
        <w:t xml:space="preserve"> is endorsed by Alliance for Community Media, National Association of Counties, National Association of Telecommunications Officers and Advisors, National League of Cities, </w:t>
      </w:r>
      <w:proofErr w:type="spellStart"/>
      <w:r w:rsidRPr="00F95DCF">
        <w:rPr>
          <w:rFonts w:ascii="Times New Roman" w:hAnsi="Times New Roman" w:cs="Times New Roman"/>
          <w:sz w:val="24"/>
          <w:szCs w:val="24"/>
        </w:rPr>
        <w:t>MassAccess</w:t>
      </w:r>
      <w:proofErr w:type="spellEnd"/>
      <w:r w:rsidRPr="00F95DCF">
        <w:rPr>
          <w:rFonts w:ascii="Times New Roman" w:hAnsi="Times New Roman" w:cs="Times New Roman"/>
          <w:sz w:val="24"/>
          <w:szCs w:val="24"/>
        </w:rPr>
        <w:t>, and Maine Community Media Association.</w:t>
      </w:r>
    </w:p>
    <w:p w14:paraId="7621AE89" w14:textId="77777777" w:rsidR="00F95DCF" w:rsidRPr="00F95DCF" w:rsidRDefault="00F95DCF" w:rsidP="00F95DCF">
      <w:pPr>
        <w:spacing w:after="0" w:line="240" w:lineRule="auto"/>
        <w:rPr>
          <w:rFonts w:ascii="Times New Roman" w:hAnsi="Times New Roman" w:cs="Times New Roman"/>
          <w:b/>
          <w:bCs/>
          <w:sz w:val="24"/>
          <w:szCs w:val="24"/>
        </w:rPr>
      </w:pPr>
      <w:r w:rsidRPr="00F95DCF">
        <w:rPr>
          <w:rFonts w:ascii="Times New Roman" w:hAnsi="Times New Roman" w:cs="Times New Roman"/>
          <w:sz w:val="24"/>
          <w:szCs w:val="24"/>
        </w:rPr>
        <w:t>“The Alliance for Community Media welcomes the re-introduction of the</w:t>
      </w:r>
      <w:r w:rsidRPr="00F95DCF">
        <w:rPr>
          <w:rFonts w:ascii="Times New Roman" w:hAnsi="Times New Roman" w:cs="Times New Roman"/>
          <w:i/>
          <w:iCs/>
          <w:sz w:val="24"/>
          <w:szCs w:val="24"/>
        </w:rPr>
        <w:t xml:space="preserve"> Protecting Community Television Act</w:t>
      </w:r>
      <w:r w:rsidRPr="00F95DCF">
        <w:rPr>
          <w:rFonts w:ascii="Times New Roman" w:hAnsi="Times New Roman" w:cs="Times New Roman"/>
          <w:sz w:val="24"/>
          <w:szCs w:val="24"/>
        </w:rPr>
        <w:t xml:space="preserve"> and want to thank Senator Markey and Representative Carter for their support for community access television. Passage of the Act will reduce fees that drain away monetary support for local community media channels across the country. At a time when we have fewer and fewer local journalists and reliable local information sources, cities and towns need community access television more than ever, and this bill will help sustain our operations,” </w:t>
      </w:r>
      <w:r w:rsidRPr="00F95DCF">
        <w:rPr>
          <w:rFonts w:ascii="Times New Roman" w:hAnsi="Times New Roman" w:cs="Times New Roman"/>
          <w:b/>
          <w:bCs/>
          <w:sz w:val="24"/>
          <w:szCs w:val="24"/>
        </w:rPr>
        <w:t>said Mike Wassenaar, President &amp; CEO, Alliance for Community Media</w:t>
      </w:r>
      <w:r w:rsidRPr="00F95DCF">
        <w:rPr>
          <w:rFonts w:ascii="Times New Roman" w:hAnsi="Times New Roman" w:cs="Times New Roman"/>
          <w:sz w:val="24"/>
          <w:szCs w:val="24"/>
        </w:rPr>
        <w:t>.</w:t>
      </w:r>
      <w:r w:rsidRPr="00F95DCF">
        <w:rPr>
          <w:rFonts w:ascii="Times New Roman" w:hAnsi="Times New Roman" w:cs="Times New Roman"/>
          <w:b/>
          <w:bCs/>
          <w:sz w:val="24"/>
          <w:szCs w:val="24"/>
        </w:rPr>
        <w:t xml:space="preserve"> </w:t>
      </w:r>
    </w:p>
    <w:p w14:paraId="0531A2DA" w14:textId="77777777" w:rsidR="00F95DCF" w:rsidRPr="00F95DCF" w:rsidRDefault="00F95DCF" w:rsidP="00F95DCF">
      <w:pPr>
        <w:spacing w:after="0" w:line="240" w:lineRule="auto"/>
        <w:rPr>
          <w:rFonts w:ascii="Times New Roman" w:hAnsi="Times New Roman" w:cs="Times New Roman"/>
          <w:sz w:val="24"/>
          <w:szCs w:val="24"/>
        </w:rPr>
      </w:pPr>
    </w:p>
    <w:p w14:paraId="5C413A05"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t xml:space="preserve">“Counties rely on public communications channels to disseminate local news and updates to residents in a timely manner,” </w:t>
      </w:r>
      <w:r w:rsidRPr="00F95DCF">
        <w:rPr>
          <w:rFonts w:ascii="Times New Roman" w:hAnsi="Times New Roman" w:cs="Times New Roman"/>
          <w:b/>
          <w:bCs/>
          <w:sz w:val="24"/>
          <w:szCs w:val="24"/>
        </w:rPr>
        <w:t>said Matthew Chase, Executive Director of the National Association of Counties</w:t>
      </w:r>
      <w:r w:rsidRPr="00F95DCF">
        <w:rPr>
          <w:rFonts w:ascii="Times New Roman" w:hAnsi="Times New Roman" w:cs="Times New Roman"/>
          <w:sz w:val="24"/>
          <w:szCs w:val="24"/>
        </w:rPr>
        <w:t xml:space="preserve">. “By preserving monetary support for public, educational and government channels through franchise fees, counties would ensure that essential local content remains accessible to residents. Counties thank Senators Ed Markey and Tammy Baldwin for introducing the </w:t>
      </w:r>
      <w:r w:rsidRPr="00F95DCF">
        <w:rPr>
          <w:rFonts w:ascii="Times New Roman" w:hAnsi="Times New Roman" w:cs="Times New Roman"/>
          <w:i/>
          <w:iCs/>
          <w:sz w:val="24"/>
          <w:szCs w:val="24"/>
        </w:rPr>
        <w:t xml:space="preserve">Protecting Community Television Act </w:t>
      </w:r>
      <w:r w:rsidRPr="00F95DCF">
        <w:rPr>
          <w:rFonts w:ascii="Times New Roman" w:hAnsi="Times New Roman" w:cs="Times New Roman"/>
          <w:sz w:val="24"/>
          <w:szCs w:val="24"/>
        </w:rPr>
        <w:t>and urge its swift passage”</w:t>
      </w:r>
    </w:p>
    <w:p w14:paraId="4D5BADD4" w14:textId="77777777" w:rsidR="00F95DCF" w:rsidRPr="00F95DCF" w:rsidRDefault="00F95DCF" w:rsidP="00F95DCF">
      <w:pPr>
        <w:spacing w:after="0" w:line="240" w:lineRule="auto"/>
        <w:rPr>
          <w:rFonts w:ascii="Times New Roman" w:hAnsi="Times New Roman" w:cs="Times New Roman"/>
          <w:sz w:val="24"/>
          <w:szCs w:val="24"/>
        </w:rPr>
      </w:pPr>
      <w:r w:rsidRPr="00F95DCF">
        <w:rPr>
          <w:rFonts w:ascii="Times New Roman" w:hAnsi="Times New Roman" w:cs="Times New Roman"/>
          <w:sz w:val="24"/>
          <w:szCs w:val="24"/>
        </w:rPr>
        <w:br/>
        <w:t xml:space="preserve">“The </w:t>
      </w:r>
      <w:r w:rsidRPr="00F95DCF">
        <w:rPr>
          <w:rFonts w:ascii="Times New Roman" w:hAnsi="Times New Roman" w:cs="Times New Roman"/>
          <w:i/>
          <w:iCs/>
          <w:sz w:val="24"/>
          <w:szCs w:val="24"/>
        </w:rPr>
        <w:t>Protecting Community Television Act (PCTA)</w:t>
      </w:r>
      <w:r w:rsidRPr="00F95DCF">
        <w:rPr>
          <w:rFonts w:ascii="Times New Roman" w:hAnsi="Times New Roman" w:cs="Times New Roman"/>
          <w:sz w:val="24"/>
          <w:szCs w:val="24"/>
        </w:rPr>
        <w:t xml:space="preserve"> is elegant legislation that seeks to protect benefits consistent with the Cable Act and cable franchising principles since 1984.  In 2019, the Federal Communications Commission issued an order that undermines this ability by redefining the term “franchise fees” as used in the Cable Act and substituting its definition for that written by Congress in 1984. The</w:t>
      </w:r>
      <w:r w:rsidRPr="00F95DCF">
        <w:rPr>
          <w:rFonts w:ascii="Times New Roman" w:hAnsi="Times New Roman" w:cs="Times New Roman"/>
          <w:i/>
          <w:iCs/>
          <w:sz w:val="24"/>
          <w:szCs w:val="24"/>
        </w:rPr>
        <w:t xml:space="preserve"> Protecting Community Television Act</w:t>
      </w:r>
      <w:r w:rsidRPr="00F95DCF">
        <w:rPr>
          <w:rFonts w:ascii="Times New Roman" w:hAnsi="Times New Roman" w:cs="Times New Roman"/>
          <w:sz w:val="24"/>
          <w:szCs w:val="24"/>
        </w:rPr>
        <w:t xml:space="preserve"> remedies that altered meaning by protecting local public, educational and community access television so folks in communities across the country can continue to access relevant and timely local news that they rely on. Thanks to Senators Ed Markey (D-Mass.) and Tammy Baldwin (D-Wisc.) and Congressman Troy Carter (D-LA) for continuing to advocate for the PCTA, which reaffirms Congress’ original intent to protect the long-standing ability of local governments to manage public property and provide for local media through public, educational and governmental access channels (PEG Access) in cable franchise agreements,” </w:t>
      </w:r>
      <w:r w:rsidRPr="00F95DCF">
        <w:rPr>
          <w:rFonts w:ascii="Times New Roman" w:hAnsi="Times New Roman" w:cs="Times New Roman"/>
          <w:b/>
          <w:bCs/>
          <w:sz w:val="24"/>
          <w:szCs w:val="24"/>
        </w:rPr>
        <w:t>said Mike Lynch, Legislative Director for National Association of Telecommunications Officers and Advisors</w:t>
      </w:r>
      <w:r w:rsidRPr="00F95DCF">
        <w:rPr>
          <w:rFonts w:ascii="Times New Roman" w:hAnsi="Times New Roman" w:cs="Times New Roman"/>
          <w:sz w:val="24"/>
          <w:szCs w:val="24"/>
        </w:rPr>
        <w:t>.</w:t>
      </w:r>
    </w:p>
    <w:p w14:paraId="54ADAB37" w14:textId="77777777" w:rsidR="007E0A05" w:rsidRDefault="007E0A05"/>
    <w:sectPr w:rsidR="007E0A05">
      <w:footerReference w:type="even" r:id="rId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8E6C5" w14:textId="77777777" w:rsidR="00F95DCF" w:rsidRDefault="00F95DCF" w:rsidP="00F95DCF">
      <w:pPr>
        <w:spacing w:after="0" w:line="240" w:lineRule="auto"/>
      </w:pPr>
      <w:r>
        <w:separator/>
      </w:r>
    </w:p>
  </w:endnote>
  <w:endnote w:type="continuationSeparator" w:id="0">
    <w:p w14:paraId="33CBB07A" w14:textId="77777777" w:rsidR="00F95DCF" w:rsidRDefault="00F95DCF" w:rsidP="00F9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3040" w14:textId="633A2E3D" w:rsidR="00F95DCF" w:rsidRDefault="00F95DCF">
    <w:pPr>
      <w:pStyle w:val="Footer"/>
    </w:pPr>
    <w:r>
      <w:rPr>
        <w:noProof/>
      </w:rPr>
      <mc:AlternateContent>
        <mc:Choice Requires="wps">
          <w:drawing>
            <wp:anchor distT="0" distB="0" distL="0" distR="0" simplePos="0" relativeHeight="251659264" behindDoc="0" locked="0" layoutInCell="1" allowOverlap="1" wp14:anchorId="4A0CBE44" wp14:editId="252FC0AE">
              <wp:simplePos x="635" y="635"/>
              <wp:positionH relativeFrom="page">
                <wp:align>left</wp:align>
              </wp:positionH>
              <wp:positionV relativeFrom="page">
                <wp:align>bottom</wp:align>
              </wp:positionV>
              <wp:extent cx="2085975" cy="335280"/>
              <wp:effectExtent l="0" t="0" r="9525" b="0"/>
              <wp:wrapNone/>
              <wp:docPr id="95302143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54E3AB61" w14:textId="3D328440" w:rsidR="00F95DCF" w:rsidRPr="00F95DCF" w:rsidRDefault="00F95DCF" w:rsidP="00F95DCF">
                          <w:pPr>
                            <w:spacing w:after="0"/>
                            <w:rPr>
                              <w:rFonts w:ascii="Rockwell" w:eastAsia="Rockwell" w:hAnsi="Rockwell" w:cs="Rockwell"/>
                              <w:noProof/>
                              <w:color w:val="0078D7"/>
                              <w:sz w:val="18"/>
                              <w:szCs w:val="18"/>
                            </w:rPr>
                          </w:pPr>
                          <w:r w:rsidRPr="00F95DC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0CBE4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54E3AB61" w14:textId="3D328440" w:rsidR="00F95DCF" w:rsidRPr="00F95DCF" w:rsidRDefault="00F95DCF" w:rsidP="00F95DCF">
                    <w:pPr>
                      <w:spacing w:after="0"/>
                      <w:rPr>
                        <w:rFonts w:ascii="Rockwell" w:eastAsia="Rockwell" w:hAnsi="Rockwell" w:cs="Rockwell"/>
                        <w:noProof/>
                        <w:color w:val="0078D7"/>
                        <w:sz w:val="18"/>
                        <w:szCs w:val="18"/>
                      </w:rPr>
                    </w:pPr>
                    <w:r w:rsidRPr="00F95DC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9B42F" w14:textId="70097B23" w:rsidR="00F95DCF" w:rsidRDefault="00F95DCF">
    <w:pPr>
      <w:pStyle w:val="Footer"/>
    </w:pPr>
    <w:r>
      <w:rPr>
        <w:noProof/>
      </w:rPr>
      <mc:AlternateContent>
        <mc:Choice Requires="wps">
          <w:drawing>
            <wp:anchor distT="0" distB="0" distL="0" distR="0" simplePos="0" relativeHeight="251660288" behindDoc="0" locked="0" layoutInCell="1" allowOverlap="1" wp14:anchorId="36C5E23B" wp14:editId="2407EAA2">
              <wp:simplePos x="914400" y="9433560"/>
              <wp:positionH relativeFrom="page">
                <wp:align>left</wp:align>
              </wp:positionH>
              <wp:positionV relativeFrom="page">
                <wp:align>bottom</wp:align>
              </wp:positionV>
              <wp:extent cx="2085975" cy="335280"/>
              <wp:effectExtent l="0" t="0" r="9525" b="0"/>
              <wp:wrapNone/>
              <wp:docPr id="158045461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2610374" w14:textId="2ECE2B32" w:rsidR="00F95DCF" w:rsidRPr="00F95DCF" w:rsidRDefault="00F95DCF" w:rsidP="00F95DCF">
                          <w:pPr>
                            <w:spacing w:after="0"/>
                            <w:rPr>
                              <w:rFonts w:ascii="Rockwell" w:eastAsia="Rockwell" w:hAnsi="Rockwell" w:cs="Rockwell"/>
                              <w:noProof/>
                              <w:color w:val="0078D7"/>
                              <w:sz w:val="18"/>
                              <w:szCs w:val="18"/>
                            </w:rPr>
                          </w:pPr>
                          <w:r w:rsidRPr="00F95DC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C5E23B"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12610374" w14:textId="2ECE2B32" w:rsidR="00F95DCF" w:rsidRPr="00F95DCF" w:rsidRDefault="00F95DCF" w:rsidP="00F95DCF">
                    <w:pPr>
                      <w:spacing w:after="0"/>
                      <w:rPr>
                        <w:rFonts w:ascii="Rockwell" w:eastAsia="Rockwell" w:hAnsi="Rockwell" w:cs="Rockwell"/>
                        <w:noProof/>
                        <w:color w:val="0078D7"/>
                        <w:sz w:val="18"/>
                        <w:szCs w:val="18"/>
                      </w:rPr>
                    </w:pPr>
                    <w:r w:rsidRPr="00F95DC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C1E0D" w14:textId="79516135" w:rsidR="00F95DCF" w:rsidRDefault="00F95DCF">
    <w:pPr>
      <w:pStyle w:val="Footer"/>
    </w:pPr>
    <w:r>
      <w:rPr>
        <w:noProof/>
      </w:rPr>
      <mc:AlternateContent>
        <mc:Choice Requires="wps">
          <w:drawing>
            <wp:anchor distT="0" distB="0" distL="0" distR="0" simplePos="0" relativeHeight="251658240" behindDoc="0" locked="0" layoutInCell="1" allowOverlap="1" wp14:anchorId="420B2E75" wp14:editId="6CA6344D">
              <wp:simplePos x="635" y="635"/>
              <wp:positionH relativeFrom="page">
                <wp:align>left</wp:align>
              </wp:positionH>
              <wp:positionV relativeFrom="page">
                <wp:align>bottom</wp:align>
              </wp:positionV>
              <wp:extent cx="2085975" cy="335280"/>
              <wp:effectExtent l="0" t="0" r="9525" b="0"/>
              <wp:wrapNone/>
              <wp:docPr id="595224242"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1165F5C7" w14:textId="0F929F6C" w:rsidR="00F95DCF" w:rsidRPr="00F95DCF" w:rsidRDefault="00F95DCF" w:rsidP="00F95DCF">
                          <w:pPr>
                            <w:spacing w:after="0"/>
                            <w:rPr>
                              <w:rFonts w:ascii="Rockwell" w:eastAsia="Rockwell" w:hAnsi="Rockwell" w:cs="Rockwell"/>
                              <w:noProof/>
                              <w:color w:val="0078D7"/>
                              <w:sz w:val="18"/>
                              <w:szCs w:val="18"/>
                            </w:rPr>
                          </w:pPr>
                          <w:r w:rsidRPr="00F95DC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0B2E75"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1165F5C7" w14:textId="0F929F6C" w:rsidR="00F95DCF" w:rsidRPr="00F95DCF" w:rsidRDefault="00F95DCF" w:rsidP="00F95DCF">
                    <w:pPr>
                      <w:spacing w:after="0"/>
                      <w:rPr>
                        <w:rFonts w:ascii="Rockwell" w:eastAsia="Rockwell" w:hAnsi="Rockwell" w:cs="Rockwell"/>
                        <w:noProof/>
                        <w:color w:val="0078D7"/>
                        <w:sz w:val="18"/>
                        <w:szCs w:val="18"/>
                      </w:rPr>
                    </w:pPr>
                    <w:r w:rsidRPr="00F95DC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0D55D" w14:textId="77777777" w:rsidR="00F95DCF" w:rsidRDefault="00F95DCF" w:rsidP="00F95DCF">
      <w:pPr>
        <w:spacing w:after="0" w:line="240" w:lineRule="auto"/>
      </w:pPr>
      <w:r>
        <w:separator/>
      </w:r>
    </w:p>
  </w:footnote>
  <w:footnote w:type="continuationSeparator" w:id="0">
    <w:p w14:paraId="2F6F123D" w14:textId="77777777" w:rsidR="00F95DCF" w:rsidRDefault="00F95DCF" w:rsidP="00F95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DCF"/>
    <w:rsid w:val="003A71CC"/>
    <w:rsid w:val="003C2D0C"/>
    <w:rsid w:val="007E0A05"/>
    <w:rsid w:val="00997BB4"/>
    <w:rsid w:val="00B93787"/>
    <w:rsid w:val="00F95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5606E8"/>
  <w15:chartTrackingRefBased/>
  <w15:docId w15:val="{C7BEF4D0-96DD-46FF-971C-0F566E08A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D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5D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5D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5D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5D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5D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D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D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D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DC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DC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D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D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5D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5D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D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D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DCF"/>
    <w:rPr>
      <w:rFonts w:eastAsiaTheme="majorEastAsia" w:cstheme="majorBidi"/>
      <w:color w:val="272727" w:themeColor="text1" w:themeTint="D8"/>
    </w:rPr>
  </w:style>
  <w:style w:type="paragraph" w:styleId="Title">
    <w:name w:val="Title"/>
    <w:basedOn w:val="Normal"/>
    <w:next w:val="Normal"/>
    <w:link w:val="TitleChar"/>
    <w:uiPriority w:val="10"/>
    <w:qFormat/>
    <w:rsid w:val="00F95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D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D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D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DCF"/>
    <w:pPr>
      <w:spacing w:before="160"/>
      <w:jc w:val="center"/>
    </w:pPr>
    <w:rPr>
      <w:i/>
      <w:iCs/>
      <w:color w:val="404040" w:themeColor="text1" w:themeTint="BF"/>
    </w:rPr>
  </w:style>
  <w:style w:type="character" w:customStyle="1" w:styleId="QuoteChar">
    <w:name w:val="Quote Char"/>
    <w:basedOn w:val="DefaultParagraphFont"/>
    <w:link w:val="Quote"/>
    <w:uiPriority w:val="29"/>
    <w:rsid w:val="00F95DCF"/>
    <w:rPr>
      <w:i/>
      <w:iCs/>
      <w:color w:val="404040" w:themeColor="text1" w:themeTint="BF"/>
    </w:rPr>
  </w:style>
  <w:style w:type="paragraph" w:styleId="ListParagraph">
    <w:name w:val="List Paragraph"/>
    <w:basedOn w:val="Normal"/>
    <w:uiPriority w:val="34"/>
    <w:qFormat/>
    <w:rsid w:val="00F95DCF"/>
    <w:pPr>
      <w:ind w:left="720"/>
      <w:contextualSpacing/>
    </w:pPr>
  </w:style>
  <w:style w:type="character" w:styleId="IntenseEmphasis">
    <w:name w:val="Intense Emphasis"/>
    <w:basedOn w:val="DefaultParagraphFont"/>
    <w:uiPriority w:val="21"/>
    <w:qFormat/>
    <w:rsid w:val="00F95DCF"/>
    <w:rPr>
      <w:i/>
      <w:iCs/>
      <w:color w:val="2F5496" w:themeColor="accent1" w:themeShade="BF"/>
    </w:rPr>
  </w:style>
  <w:style w:type="paragraph" w:styleId="IntenseQuote">
    <w:name w:val="Intense Quote"/>
    <w:basedOn w:val="Normal"/>
    <w:next w:val="Normal"/>
    <w:link w:val="IntenseQuoteChar"/>
    <w:uiPriority w:val="30"/>
    <w:qFormat/>
    <w:rsid w:val="00F95D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5DCF"/>
    <w:rPr>
      <w:i/>
      <w:iCs/>
      <w:color w:val="2F5496" w:themeColor="accent1" w:themeShade="BF"/>
    </w:rPr>
  </w:style>
  <w:style w:type="character" w:styleId="IntenseReference">
    <w:name w:val="Intense Reference"/>
    <w:basedOn w:val="DefaultParagraphFont"/>
    <w:uiPriority w:val="32"/>
    <w:qFormat/>
    <w:rsid w:val="00F95DCF"/>
    <w:rPr>
      <w:b/>
      <w:bCs/>
      <w:smallCaps/>
      <w:color w:val="2F5496" w:themeColor="accent1" w:themeShade="BF"/>
      <w:spacing w:val="5"/>
    </w:rPr>
  </w:style>
  <w:style w:type="character" w:styleId="Hyperlink">
    <w:name w:val="Hyperlink"/>
    <w:basedOn w:val="DefaultParagraphFont"/>
    <w:uiPriority w:val="99"/>
    <w:unhideWhenUsed/>
    <w:rsid w:val="00F95DCF"/>
    <w:rPr>
      <w:color w:val="0563C1" w:themeColor="hyperlink"/>
      <w:u w:val="single"/>
    </w:rPr>
  </w:style>
  <w:style w:type="character" w:styleId="UnresolvedMention">
    <w:name w:val="Unresolved Mention"/>
    <w:basedOn w:val="DefaultParagraphFont"/>
    <w:uiPriority w:val="99"/>
    <w:semiHidden/>
    <w:unhideWhenUsed/>
    <w:rsid w:val="00F95DCF"/>
    <w:rPr>
      <w:color w:val="605E5C"/>
      <w:shd w:val="clear" w:color="auto" w:fill="E1DFDD"/>
    </w:rPr>
  </w:style>
  <w:style w:type="paragraph" w:styleId="Footer">
    <w:name w:val="footer"/>
    <w:basedOn w:val="Normal"/>
    <w:link w:val="FooterChar"/>
    <w:uiPriority w:val="99"/>
    <w:unhideWhenUsed/>
    <w:rsid w:val="00F95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51277">
      <w:bodyDiv w:val="1"/>
      <w:marLeft w:val="0"/>
      <w:marRight w:val="0"/>
      <w:marTop w:val="0"/>
      <w:marBottom w:val="0"/>
      <w:divBdr>
        <w:top w:val="none" w:sz="0" w:space="0" w:color="auto"/>
        <w:left w:val="none" w:sz="0" w:space="0" w:color="auto"/>
        <w:bottom w:val="none" w:sz="0" w:space="0" w:color="auto"/>
        <w:right w:val="none" w:sz="0" w:space="0" w:color="auto"/>
      </w:divBdr>
    </w:div>
    <w:div w:id="197356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us.m.mimecastprotect.com/s/V3oJCM8E9pHkvrwwAFwfmh8PSCA?domain=markey.senate.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5141</Characters>
  <Application>Microsoft Office Word</Application>
  <DocSecurity>0</DocSecurity>
  <Lines>80</Lines>
  <Paragraphs>10</Paragraphs>
  <ScaleCrop>false</ScaleCrop>
  <Company>Informa plc</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Baumgartner, Jeff</dc:creator>
  <cp:keywords/>
  <dc:description/>
  <cp:lastModifiedBy>Baumgartner, Jeff</cp:lastModifiedBy>
  <cp:revision>1</cp:revision>
  <dcterms:created xsi:type="dcterms:W3CDTF">2025-06-05T20:36:00Z</dcterms:created>
  <dcterms:modified xsi:type="dcterms:W3CDTF">2025-06-05T20:36:00Z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63e93210-80b3-41ee-aa21-b2f05938089c</vt:lpwstr>
  </property>
  <property fmtid="{D5CDD505-2E9C-101B-9397-08002B2CF9AE}" pid="3" name="ClassificationContentMarkingFooterShapeIds">
    <vt:lpwstr>237a66b2,38cdf3fd,5e33d2d8</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2025-06-05T20:36:25Z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098fd10b-cc03-4faf-a1cf-38cb35bfcd9d</vt:lpwstr>
  </property>
  <property fmtid="{D5CDD505-2E9C-101B-9397-08002B2CF9AE}" pid="12" name="MSIP_Label_2bbab825-a111-45e4-86a1-18cee0005896_ContentBits">
    <vt:lpwstr>2</vt:lpwstr>
  </property>
  <property fmtid="{D5CDD505-2E9C-101B-9397-08002B2CF9AE}" pid="13" name="MSIP_Label_2bbab825-a111-45e4-86a1-18cee0005896_Tag">
    <vt:lpwstr>10, 3, 0, 1</vt:lpwstr>
  </property>
</Properties>
</file>