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AE2E" w14:textId="77777777" w:rsidR="00E708EC" w:rsidRDefault="000F62B6" w:rsidP="00E708EC">
      <w:pPr>
        <w:jc w:val="center"/>
        <w:rPr>
          <w:b/>
        </w:rPr>
      </w:pPr>
      <w:r w:rsidRPr="0070224F">
        <w:rPr>
          <w:rFonts w:ascii="Times New Roman Bold" w:hAnsi="Times New Roman Bold"/>
          <w:b/>
          <w:kern w:val="0"/>
          <w:szCs w:val="22"/>
        </w:rPr>
        <w:t>Before</w:t>
      </w:r>
      <w:r>
        <w:rPr>
          <w:b/>
        </w:rPr>
        <w:t xml:space="preserve"> the</w:t>
      </w:r>
    </w:p>
    <w:p w14:paraId="11B702A4" w14:textId="77777777" w:rsidR="00E708EC" w:rsidRDefault="000F62B6" w:rsidP="00E708EC">
      <w:pPr>
        <w:pStyle w:val="StyleBoldCentered"/>
      </w:pPr>
      <w:r>
        <w:t>F</w:t>
      </w:r>
      <w:r>
        <w:rPr>
          <w:caps w:val="0"/>
        </w:rPr>
        <w:t>ederal Communications Commission</w:t>
      </w:r>
    </w:p>
    <w:p w14:paraId="34ECFE95" w14:textId="77777777" w:rsidR="00E708EC" w:rsidRDefault="000F62B6" w:rsidP="00E708EC">
      <w:pPr>
        <w:pStyle w:val="StyleBoldCentered"/>
      </w:pPr>
      <w:r>
        <w:rPr>
          <w:caps w:val="0"/>
        </w:rPr>
        <w:t>Washington, D.C. 20554</w:t>
      </w:r>
    </w:p>
    <w:p w14:paraId="02EF6C08" w14:textId="77777777" w:rsidR="00E708EC" w:rsidRDefault="00E708EC" w:rsidP="00E708EC"/>
    <w:p w14:paraId="3610107A" w14:textId="77777777" w:rsidR="00E708EC" w:rsidRDefault="00E708EC" w:rsidP="00E708EC"/>
    <w:tbl>
      <w:tblPr>
        <w:tblW w:w="0" w:type="auto"/>
        <w:tblLayout w:type="fixed"/>
        <w:tblLook w:val="0000" w:firstRow="0" w:lastRow="0" w:firstColumn="0" w:lastColumn="0" w:noHBand="0" w:noVBand="0"/>
      </w:tblPr>
      <w:tblGrid>
        <w:gridCol w:w="4698"/>
        <w:gridCol w:w="630"/>
        <w:gridCol w:w="4248"/>
      </w:tblGrid>
      <w:tr w:rsidR="00E931CF" w14:paraId="59B2D99E" w14:textId="77777777" w:rsidTr="00BA785B">
        <w:tc>
          <w:tcPr>
            <w:tcW w:w="4698" w:type="dxa"/>
          </w:tcPr>
          <w:p w14:paraId="2154DA30" w14:textId="77777777" w:rsidR="00E708EC" w:rsidRDefault="000F62B6" w:rsidP="00BA785B">
            <w:pPr>
              <w:tabs>
                <w:tab w:val="center" w:pos="4680"/>
              </w:tabs>
              <w:suppressAutoHyphens/>
              <w:rPr>
                <w:spacing w:val="-2"/>
              </w:rPr>
            </w:pPr>
            <w:r>
              <w:rPr>
                <w:spacing w:val="-2"/>
              </w:rPr>
              <w:t>In the Matter of</w:t>
            </w:r>
          </w:p>
          <w:p w14:paraId="4F4320F4" w14:textId="77777777" w:rsidR="00E708EC" w:rsidRDefault="00E708EC" w:rsidP="00BA785B">
            <w:pPr>
              <w:tabs>
                <w:tab w:val="center" w:pos="4680"/>
              </w:tabs>
              <w:suppressAutoHyphens/>
              <w:rPr>
                <w:spacing w:val="-2"/>
              </w:rPr>
            </w:pPr>
          </w:p>
          <w:p w14:paraId="5D540F59" w14:textId="77777777" w:rsidR="00E708EC" w:rsidRDefault="000F62B6" w:rsidP="00BA785B">
            <w:pPr>
              <w:tabs>
                <w:tab w:val="center" w:pos="4680"/>
              </w:tabs>
              <w:suppressAutoHyphens/>
              <w:rPr>
                <w:szCs w:val="22"/>
              </w:rPr>
            </w:pPr>
            <w:r w:rsidRPr="00436519">
              <w:t>Sercomm Corporation</w:t>
            </w:r>
          </w:p>
          <w:p w14:paraId="7CDDB9F2" w14:textId="77777777" w:rsidR="00E708EC" w:rsidRDefault="00E708EC" w:rsidP="00BA785B">
            <w:pPr>
              <w:tabs>
                <w:tab w:val="center" w:pos="4680"/>
              </w:tabs>
              <w:suppressAutoHyphens/>
            </w:pPr>
          </w:p>
          <w:p w14:paraId="61337957" w14:textId="77777777" w:rsidR="00E708EC" w:rsidRDefault="000F62B6" w:rsidP="00BA785B">
            <w:pPr>
              <w:tabs>
                <w:tab w:val="center" w:pos="4680"/>
              </w:tabs>
              <w:suppressAutoHyphens/>
            </w:pPr>
            <w:r>
              <w:t xml:space="preserve">Petition for Expedited Waiver of Sections </w:t>
            </w:r>
          </w:p>
          <w:p w14:paraId="0EC2E556" w14:textId="77777777" w:rsidR="00E708EC" w:rsidRDefault="000F62B6" w:rsidP="00BA785B">
            <w:pPr>
              <w:tabs>
                <w:tab w:val="center" w:pos="4680"/>
              </w:tabs>
              <w:suppressAutoHyphens/>
            </w:pPr>
            <w:r>
              <w:t xml:space="preserve">2.932(b) and 2.1043(b) of the Commission’s </w:t>
            </w:r>
          </w:p>
          <w:p w14:paraId="65E4C8D7" w14:textId="77777777" w:rsidR="00E708EC" w:rsidRDefault="000F62B6" w:rsidP="00BA785B">
            <w:pPr>
              <w:tabs>
                <w:tab w:val="center" w:pos="4680"/>
              </w:tabs>
              <w:suppressAutoHyphens/>
            </w:pPr>
            <w:r>
              <w:t xml:space="preserve">Rules to Permit Targeted Class I and Class II </w:t>
            </w:r>
          </w:p>
          <w:p w14:paraId="14F9CD94" w14:textId="77777777" w:rsidR="00E708EC" w:rsidRDefault="000F62B6" w:rsidP="00BA785B">
            <w:pPr>
              <w:tabs>
                <w:tab w:val="center" w:pos="4680"/>
              </w:tabs>
              <w:suppressAutoHyphens/>
            </w:pPr>
            <w:r>
              <w:t xml:space="preserve">Permissive Hardware Changes to Covered </w:t>
            </w:r>
          </w:p>
          <w:p w14:paraId="4E5068B4" w14:textId="77777777" w:rsidR="00E708EC" w:rsidRPr="007115F7" w:rsidRDefault="000F62B6" w:rsidP="00BA785B">
            <w:pPr>
              <w:tabs>
                <w:tab w:val="center" w:pos="4680"/>
              </w:tabs>
              <w:suppressAutoHyphens/>
              <w:rPr>
                <w:spacing w:val="-2"/>
              </w:rPr>
            </w:pPr>
            <w:r>
              <w:t>Routers</w:t>
            </w:r>
          </w:p>
        </w:tc>
        <w:tc>
          <w:tcPr>
            <w:tcW w:w="630" w:type="dxa"/>
          </w:tcPr>
          <w:p w14:paraId="7DCD953B" w14:textId="77777777" w:rsidR="00E708EC" w:rsidRDefault="000F62B6" w:rsidP="00BA785B">
            <w:pPr>
              <w:tabs>
                <w:tab w:val="center" w:pos="4680"/>
              </w:tabs>
              <w:suppressAutoHyphens/>
              <w:rPr>
                <w:b/>
                <w:spacing w:val="-2"/>
              </w:rPr>
            </w:pPr>
            <w:r>
              <w:rPr>
                <w:b/>
                <w:spacing w:val="-2"/>
              </w:rPr>
              <w:t>)</w:t>
            </w:r>
          </w:p>
          <w:p w14:paraId="52E30273" w14:textId="77777777" w:rsidR="00E708EC" w:rsidRDefault="000F62B6" w:rsidP="00BA785B">
            <w:pPr>
              <w:tabs>
                <w:tab w:val="center" w:pos="4680"/>
              </w:tabs>
              <w:suppressAutoHyphens/>
              <w:rPr>
                <w:b/>
                <w:spacing w:val="-2"/>
              </w:rPr>
            </w:pPr>
            <w:r>
              <w:rPr>
                <w:b/>
                <w:spacing w:val="-2"/>
              </w:rPr>
              <w:t>)</w:t>
            </w:r>
          </w:p>
          <w:p w14:paraId="69E1E618" w14:textId="77777777" w:rsidR="00E708EC" w:rsidRDefault="000F62B6" w:rsidP="00BA785B">
            <w:pPr>
              <w:tabs>
                <w:tab w:val="center" w:pos="4680"/>
              </w:tabs>
              <w:suppressAutoHyphens/>
              <w:rPr>
                <w:b/>
                <w:spacing w:val="-2"/>
              </w:rPr>
            </w:pPr>
            <w:r>
              <w:rPr>
                <w:b/>
                <w:spacing w:val="-2"/>
              </w:rPr>
              <w:t>)</w:t>
            </w:r>
          </w:p>
          <w:p w14:paraId="1A450B46" w14:textId="77777777" w:rsidR="00E708EC" w:rsidRDefault="000F62B6" w:rsidP="00BA785B">
            <w:pPr>
              <w:tabs>
                <w:tab w:val="center" w:pos="4680"/>
              </w:tabs>
              <w:suppressAutoHyphens/>
              <w:rPr>
                <w:b/>
                <w:spacing w:val="-2"/>
              </w:rPr>
            </w:pPr>
            <w:r>
              <w:rPr>
                <w:b/>
                <w:spacing w:val="-2"/>
              </w:rPr>
              <w:t>)</w:t>
            </w:r>
          </w:p>
          <w:p w14:paraId="65CE4D20" w14:textId="77777777" w:rsidR="00E708EC" w:rsidRDefault="000F62B6" w:rsidP="00BA785B">
            <w:pPr>
              <w:tabs>
                <w:tab w:val="center" w:pos="4680"/>
              </w:tabs>
              <w:suppressAutoHyphens/>
              <w:rPr>
                <w:b/>
                <w:spacing w:val="-2"/>
              </w:rPr>
            </w:pPr>
            <w:r>
              <w:rPr>
                <w:b/>
                <w:spacing w:val="-2"/>
              </w:rPr>
              <w:t>)</w:t>
            </w:r>
          </w:p>
          <w:p w14:paraId="3671B684" w14:textId="77777777" w:rsidR="00E708EC" w:rsidRDefault="000F62B6" w:rsidP="00BA785B">
            <w:pPr>
              <w:tabs>
                <w:tab w:val="center" w:pos="4680"/>
              </w:tabs>
              <w:suppressAutoHyphens/>
              <w:rPr>
                <w:b/>
                <w:spacing w:val="-2"/>
              </w:rPr>
            </w:pPr>
            <w:r>
              <w:rPr>
                <w:b/>
                <w:spacing w:val="-2"/>
              </w:rPr>
              <w:t>)</w:t>
            </w:r>
          </w:p>
          <w:p w14:paraId="4373C364" w14:textId="77777777" w:rsidR="00E708EC" w:rsidRDefault="000F62B6" w:rsidP="00BA785B">
            <w:pPr>
              <w:tabs>
                <w:tab w:val="center" w:pos="4680"/>
              </w:tabs>
              <w:suppressAutoHyphens/>
              <w:rPr>
                <w:b/>
                <w:spacing w:val="-2"/>
              </w:rPr>
            </w:pPr>
            <w:r>
              <w:rPr>
                <w:b/>
                <w:spacing w:val="-2"/>
              </w:rPr>
              <w:t>)</w:t>
            </w:r>
          </w:p>
          <w:p w14:paraId="4B1B9A36" w14:textId="77777777" w:rsidR="00E708EC" w:rsidRDefault="000F62B6" w:rsidP="00BA785B">
            <w:pPr>
              <w:tabs>
                <w:tab w:val="center" w:pos="4680"/>
              </w:tabs>
              <w:suppressAutoHyphens/>
              <w:rPr>
                <w:b/>
                <w:spacing w:val="-2"/>
              </w:rPr>
            </w:pPr>
            <w:r>
              <w:rPr>
                <w:b/>
                <w:spacing w:val="-2"/>
              </w:rPr>
              <w:t>)</w:t>
            </w:r>
          </w:p>
          <w:p w14:paraId="7CF7DD02" w14:textId="77777777" w:rsidR="00E708EC" w:rsidRDefault="000F62B6" w:rsidP="00BA785B">
            <w:pPr>
              <w:tabs>
                <w:tab w:val="center" w:pos="4680"/>
              </w:tabs>
              <w:suppressAutoHyphens/>
              <w:rPr>
                <w:b/>
                <w:spacing w:val="-2"/>
              </w:rPr>
            </w:pPr>
            <w:r>
              <w:rPr>
                <w:b/>
                <w:spacing w:val="-2"/>
              </w:rPr>
              <w:t>)</w:t>
            </w:r>
          </w:p>
          <w:p w14:paraId="4BE69C4C" w14:textId="77777777" w:rsidR="00E708EC" w:rsidRPr="00E10181" w:rsidRDefault="00E708EC" w:rsidP="00BA785B">
            <w:pPr>
              <w:tabs>
                <w:tab w:val="center" w:pos="4680"/>
              </w:tabs>
              <w:suppressAutoHyphens/>
              <w:rPr>
                <w:b/>
                <w:spacing w:val="-2"/>
              </w:rPr>
            </w:pPr>
          </w:p>
        </w:tc>
        <w:tc>
          <w:tcPr>
            <w:tcW w:w="4248" w:type="dxa"/>
          </w:tcPr>
          <w:p w14:paraId="6906F223" w14:textId="77777777" w:rsidR="00E708EC" w:rsidRDefault="00E708EC" w:rsidP="00BA785B">
            <w:pPr>
              <w:tabs>
                <w:tab w:val="center" w:pos="4680"/>
              </w:tabs>
              <w:suppressAutoHyphens/>
              <w:rPr>
                <w:spacing w:val="-2"/>
              </w:rPr>
            </w:pPr>
          </w:p>
          <w:p w14:paraId="4A842372" w14:textId="77777777" w:rsidR="00E708EC" w:rsidRDefault="00E708EC" w:rsidP="00BA785B">
            <w:pPr>
              <w:pStyle w:val="TOAHeading"/>
              <w:tabs>
                <w:tab w:val="clear" w:pos="9360"/>
                <w:tab w:val="center" w:pos="4680"/>
              </w:tabs>
              <w:rPr>
                <w:spacing w:val="-2"/>
              </w:rPr>
            </w:pPr>
          </w:p>
          <w:p w14:paraId="4A50BA7C" w14:textId="77777777" w:rsidR="00E708EC" w:rsidRDefault="00E708EC" w:rsidP="00BA785B">
            <w:pPr>
              <w:tabs>
                <w:tab w:val="center" w:pos="4680"/>
              </w:tabs>
              <w:suppressAutoHyphens/>
              <w:rPr>
                <w:spacing w:val="-2"/>
              </w:rPr>
            </w:pPr>
          </w:p>
          <w:p w14:paraId="160EFA5F" w14:textId="77777777" w:rsidR="00E708EC" w:rsidRDefault="00E708EC" w:rsidP="00BA785B">
            <w:pPr>
              <w:tabs>
                <w:tab w:val="center" w:pos="4680"/>
              </w:tabs>
              <w:suppressAutoHyphens/>
              <w:rPr>
                <w:spacing w:val="-2"/>
              </w:rPr>
            </w:pPr>
          </w:p>
          <w:p w14:paraId="57A7C163" w14:textId="77777777" w:rsidR="00E708EC" w:rsidRDefault="000F62B6" w:rsidP="00BA785B">
            <w:pPr>
              <w:tabs>
                <w:tab w:val="center" w:pos="4680"/>
              </w:tabs>
              <w:suppressAutoHyphens/>
              <w:rPr>
                <w:spacing w:val="-2"/>
              </w:rPr>
            </w:pPr>
            <w:r>
              <w:rPr>
                <w:spacing w:val="-2"/>
              </w:rPr>
              <w:t>ET Docket No. 21-232</w:t>
            </w:r>
          </w:p>
        </w:tc>
      </w:tr>
    </w:tbl>
    <w:p w14:paraId="3D535665" w14:textId="77777777" w:rsidR="00E708EC" w:rsidRDefault="00E708EC" w:rsidP="00E708EC"/>
    <w:p w14:paraId="41262BEB" w14:textId="77777777" w:rsidR="00E708EC" w:rsidRDefault="000F62B6" w:rsidP="00E708EC">
      <w:pPr>
        <w:pStyle w:val="StyleBoldCentered"/>
      </w:pPr>
      <w:r>
        <w:t>order</w:t>
      </w:r>
    </w:p>
    <w:p w14:paraId="706FBE4B" w14:textId="77777777" w:rsidR="00E708EC" w:rsidRDefault="00E708EC" w:rsidP="00E708EC">
      <w:pPr>
        <w:tabs>
          <w:tab w:val="left" w:pos="-720"/>
        </w:tabs>
        <w:suppressAutoHyphens/>
        <w:spacing w:line="227" w:lineRule="auto"/>
        <w:rPr>
          <w:spacing w:val="-2"/>
        </w:rPr>
      </w:pPr>
    </w:p>
    <w:p w14:paraId="09E440FB" w14:textId="77777777" w:rsidR="00E708EC" w:rsidRDefault="000F62B6" w:rsidP="00E708EC">
      <w:pPr>
        <w:tabs>
          <w:tab w:val="left" w:pos="720"/>
          <w:tab w:val="right" w:pos="9360"/>
        </w:tabs>
        <w:suppressAutoHyphens/>
        <w:spacing w:line="227" w:lineRule="auto"/>
        <w:rPr>
          <w:spacing w:val="-2"/>
        </w:rPr>
      </w:pPr>
      <w:r>
        <w:rPr>
          <w:b/>
          <w:spacing w:val="-2"/>
        </w:rPr>
        <w:t>Adopted:  June 9, 2026</w:t>
      </w:r>
      <w:r>
        <w:rPr>
          <w:b/>
          <w:spacing w:val="-2"/>
        </w:rPr>
        <w:tab/>
        <w:t>Released:  June 9, 2026</w:t>
      </w:r>
    </w:p>
    <w:p w14:paraId="149D88DF" w14:textId="77777777" w:rsidR="00E708EC" w:rsidRDefault="00E708EC" w:rsidP="00E708EC"/>
    <w:p w14:paraId="7A988283" w14:textId="77777777" w:rsidR="00E708EC" w:rsidRDefault="000F62B6" w:rsidP="00E708EC">
      <w:pPr>
        <w:rPr>
          <w:spacing w:val="-2"/>
        </w:rPr>
      </w:pPr>
      <w:r>
        <w:t xml:space="preserve">By the </w:t>
      </w:r>
      <w:r>
        <w:rPr>
          <w:spacing w:val="-2"/>
        </w:rPr>
        <w:t>Chief, Office of Engineering and Technology:</w:t>
      </w:r>
    </w:p>
    <w:p w14:paraId="47D3E1F0" w14:textId="77777777" w:rsidR="00E708EC" w:rsidRDefault="00E708EC" w:rsidP="00E708EC">
      <w:pPr>
        <w:rPr>
          <w:spacing w:val="-2"/>
        </w:rPr>
      </w:pPr>
    </w:p>
    <w:p w14:paraId="268F81E4" w14:textId="77777777" w:rsidR="00E708EC" w:rsidRDefault="000F62B6" w:rsidP="00E708EC">
      <w:pPr>
        <w:pStyle w:val="Heading1"/>
        <w:numPr>
          <w:ilvl w:val="0"/>
          <w:numId w:val="13"/>
        </w:numPr>
        <w:tabs>
          <w:tab w:val="left" w:pos="720"/>
        </w:tabs>
      </w:pPr>
      <w:r>
        <w:t>Introduction</w:t>
      </w:r>
    </w:p>
    <w:p w14:paraId="6A76C92A" w14:textId="77777777" w:rsidR="00E708EC" w:rsidRDefault="000F62B6" w:rsidP="00E708EC">
      <w:pPr>
        <w:pStyle w:val="ParaNum0"/>
        <w:numPr>
          <w:ilvl w:val="0"/>
          <w:numId w:val="11"/>
        </w:numPr>
        <w:tabs>
          <w:tab w:val="clear" w:pos="1080"/>
          <w:tab w:val="num" w:pos="1440"/>
        </w:tabs>
      </w:pPr>
      <w:r w:rsidRPr="00A91903">
        <w:t>By this Order we</w:t>
      </w:r>
      <w:r>
        <w:t xml:space="preserve"> </w:t>
      </w:r>
      <w:r w:rsidRPr="00A91903">
        <w:t xml:space="preserve">grant the request of </w:t>
      </w:r>
      <w:r w:rsidRPr="00C57510">
        <w:t>Sercomm Corporation</w:t>
      </w:r>
      <w:r>
        <w:t xml:space="preserve"> (Sercomm)</w:t>
      </w:r>
      <w:r w:rsidRPr="00A91903">
        <w:t xml:space="preserve"> for a</w:t>
      </w:r>
      <w:r>
        <w:t xml:space="preserve"> </w:t>
      </w:r>
      <w:r w:rsidRPr="00A91903">
        <w:t xml:space="preserve">waiver of </w:t>
      </w:r>
      <w:r w:rsidRPr="00C01C0A">
        <w:rPr>
          <w:szCs w:val="22"/>
        </w:rPr>
        <w:t xml:space="preserve">Sections 2.932(b) and 2.1043(b) </w:t>
      </w:r>
      <w:r w:rsidRPr="00A91903">
        <w:t xml:space="preserve">of the Commission's rules </w:t>
      </w:r>
      <w:r w:rsidRPr="00586EA3">
        <w:t xml:space="preserve">to permit </w:t>
      </w:r>
      <w:r>
        <w:t>its members</w:t>
      </w:r>
      <w:r w:rsidRPr="00586EA3">
        <w:t xml:space="preserve"> to make two types of necessary hardware</w:t>
      </w:r>
      <w:r>
        <w:t xml:space="preserve"> </w:t>
      </w:r>
      <w:r w:rsidRPr="00586EA3">
        <w:t xml:space="preserve">Class I and Class II </w:t>
      </w:r>
      <w:r>
        <w:t>permissive</w:t>
      </w:r>
      <w:r w:rsidRPr="00586EA3">
        <w:t xml:space="preserve"> changes to consumer-grade routers, which are now on the Covered List</w:t>
      </w:r>
      <w:r>
        <w:t>,</w:t>
      </w:r>
      <w:r>
        <w:rPr>
          <w:rStyle w:val="FootnoteReference"/>
        </w:rPr>
        <w:footnoteReference w:id="2"/>
      </w:r>
      <w:r w:rsidRPr="00A91903">
        <w:t xml:space="preserve"> </w:t>
      </w:r>
      <w:r>
        <w:t xml:space="preserve">for a period of one year. </w:t>
      </w:r>
      <w:r w:rsidRPr="00A91903">
        <w:t xml:space="preserve">We find that grant of the waiver will serve the public interest </w:t>
      </w:r>
      <w:r>
        <w:t xml:space="preserve">by preventing </w:t>
      </w:r>
      <w:r w:rsidRPr="00C30353">
        <w:t>abrupt</w:t>
      </w:r>
      <w:r>
        <w:t xml:space="preserve"> </w:t>
      </w:r>
      <w:r w:rsidRPr="00C30353">
        <w:t>disruptions</w:t>
      </w:r>
      <w:r>
        <w:t xml:space="preserve"> </w:t>
      </w:r>
      <w:r w:rsidRPr="000E6B57">
        <w:t>that would impair the supply of broadband equipment to American consumers.</w:t>
      </w:r>
    </w:p>
    <w:p w14:paraId="6A103915" w14:textId="77777777" w:rsidR="00E708EC" w:rsidRDefault="000F62B6" w:rsidP="00E708EC">
      <w:pPr>
        <w:pStyle w:val="Heading1"/>
        <w:numPr>
          <w:ilvl w:val="0"/>
          <w:numId w:val="13"/>
        </w:numPr>
        <w:tabs>
          <w:tab w:val="left" w:pos="720"/>
        </w:tabs>
      </w:pPr>
      <w:r>
        <w:t>Background</w:t>
      </w:r>
    </w:p>
    <w:p w14:paraId="0B6AB8E4" w14:textId="77777777" w:rsidR="00E708EC" w:rsidRPr="006243D6" w:rsidRDefault="000F62B6" w:rsidP="00E708EC">
      <w:pPr>
        <w:pStyle w:val="ParaNum0"/>
        <w:numPr>
          <w:ilvl w:val="0"/>
          <w:numId w:val="11"/>
        </w:numPr>
        <w:tabs>
          <w:tab w:val="clear" w:pos="1080"/>
          <w:tab w:val="num" w:pos="1440"/>
        </w:tabs>
        <w:rPr>
          <w:szCs w:val="22"/>
        </w:rPr>
      </w:pPr>
      <w:r w:rsidRPr="006243D6">
        <w:rPr>
          <w:szCs w:val="22"/>
        </w:rPr>
        <w:t>On October 28, 2025, the Commission adopted revisions to its rules at 47 CFR §§ 2.932(b) and 2.1043(b), which went into effect in December 2025.</w:t>
      </w:r>
      <w:r>
        <w:rPr>
          <w:rStyle w:val="FootnoteReference"/>
          <w:szCs w:val="22"/>
        </w:rPr>
        <w:footnoteReference w:id="3"/>
      </w:r>
      <w:r w:rsidRPr="006243D6">
        <w:rPr>
          <w:szCs w:val="22"/>
        </w:rPr>
        <w:t xml:space="preserve">  These revisions exclude “equipment prohibited from authorization pursuant to § 2.903</w:t>
      </w:r>
      <w:r>
        <w:rPr>
          <w:szCs w:val="22"/>
        </w:rPr>
        <w:t xml:space="preserve">,” i.e. </w:t>
      </w:r>
      <w:r w:rsidRPr="006243D6">
        <w:rPr>
          <w:szCs w:val="22"/>
        </w:rPr>
        <w:t>equipment on the Covered List</w:t>
      </w:r>
      <w:r>
        <w:rPr>
          <w:szCs w:val="22"/>
        </w:rPr>
        <w:t xml:space="preserve">, </w:t>
      </w:r>
      <w:r w:rsidRPr="006243D6">
        <w:rPr>
          <w:szCs w:val="22"/>
        </w:rPr>
        <w:t>from</w:t>
      </w:r>
      <w:r>
        <w:rPr>
          <w:szCs w:val="22"/>
        </w:rPr>
        <w:t xml:space="preserve"> the</w:t>
      </w:r>
      <w:r w:rsidRPr="006243D6">
        <w:rPr>
          <w:szCs w:val="22"/>
        </w:rPr>
        <w:t xml:space="preserve"> equipment certification procedures allowing fo</w:t>
      </w:r>
      <w:r>
        <w:rPr>
          <w:szCs w:val="22"/>
        </w:rPr>
        <w:t>r Class I</w:t>
      </w:r>
      <w:r w:rsidRPr="006243D6">
        <w:rPr>
          <w:szCs w:val="22"/>
        </w:rPr>
        <w:t xml:space="preserve"> permissive changes to authorized equipment.</w:t>
      </w:r>
      <w:r>
        <w:rPr>
          <w:rStyle w:val="FootnoteReference"/>
          <w:szCs w:val="22"/>
        </w:rPr>
        <w:footnoteReference w:id="4"/>
      </w:r>
      <w:r w:rsidRPr="006243D6">
        <w:rPr>
          <w:szCs w:val="22"/>
        </w:rPr>
        <w:t xml:space="preserve">  </w:t>
      </w:r>
    </w:p>
    <w:p w14:paraId="1843C9A3" w14:textId="77777777" w:rsidR="00E708EC" w:rsidRPr="00885DD3" w:rsidRDefault="000F62B6" w:rsidP="00E708EC">
      <w:pPr>
        <w:pStyle w:val="ParaNum0"/>
        <w:numPr>
          <w:ilvl w:val="0"/>
          <w:numId w:val="11"/>
        </w:numPr>
        <w:tabs>
          <w:tab w:val="clear" w:pos="1080"/>
          <w:tab w:val="num" w:pos="1440"/>
        </w:tabs>
        <w:rPr>
          <w:szCs w:val="22"/>
        </w:rPr>
      </w:pPr>
      <w:r w:rsidRPr="00B654E2">
        <w:rPr>
          <w:szCs w:val="22"/>
        </w:rPr>
        <w:t xml:space="preserve"> On March 23, 2026, the FCC added to the Covered List “Routers </w:t>
      </w:r>
      <w:r w:rsidRPr="00FE2824">
        <w:rPr>
          <w:szCs w:val="22"/>
        </w:rPr>
        <w:t>produced in a foreign country, except routers which have been granted a Conditional Approval by DoW or DHS” (Covered Routers).</w:t>
      </w:r>
      <w:r>
        <w:rPr>
          <w:rStyle w:val="FootnoteReference"/>
          <w:szCs w:val="22"/>
        </w:rPr>
        <w:footnoteReference w:id="5"/>
      </w:r>
      <w:r w:rsidRPr="00FE2824">
        <w:rPr>
          <w:szCs w:val="22"/>
        </w:rPr>
        <w:t xml:space="preserve"> </w:t>
      </w:r>
      <w:r>
        <w:rPr>
          <w:szCs w:val="22"/>
        </w:rPr>
        <w:t xml:space="preserve"> A</w:t>
      </w:r>
      <w:r w:rsidRPr="001F18EB">
        <w:rPr>
          <w:szCs w:val="22"/>
        </w:rPr>
        <w:t xml:space="preserve">pplying 47 CFR §§ 2.932(b) and 2.1043(b) to </w:t>
      </w:r>
      <w:r>
        <w:rPr>
          <w:szCs w:val="22"/>
        </w:rPr>
        <w:t>Covered Routers</w:t>
      </w:r>
      <w:r w:rsidRPr="001F18EB">
        <w:rPr>
          <w:szCs w:val="22"/>
        </w:rPr>
        <w:t xml:space="preserve"> </w:t>
      </w:r>
      <w:r>
        <w:rPr>
          <w:szCs w:val="22"/>
        </w:rPr>
        <w:t>had</w:t>
      </w:r>
      <w:r w:rsidRPr="001F18EB">
        <w:rPr>
          <w:szCs w:val="22"/>
        </w:rPr>
        <w:t xml:space="preserve"> the effect of prohibiting </w:t>
      </w:r>
      <w:r>
        <w:rPr>
          <w:szCs w:val="22"/>
        </w:rPr>
        <w:lastRenderedPageBreak/>
        <w:t xml:space="preserve">all </w:t>
      </w:r>
      <w:r w:rsidRPr="001F18EB">
        <w:rPr>
          <w:szCs w:val="22"/>
        </w:rPr>
        <w:t>permissive changes</w:t>
      </w:r>
      <w:r>
        <w:rPr>
          <w:szCs w:val="22"/>
        </w:rPr>
        <w:t>, even</w:t>
      </w:r>
      <w:r w:rsidRPr="001F18EB">
        <w:rPr>
          <w:szCs w:val="22"/>
        </w:rPr>
        <w:t xml:space="preserve"> software and firmware security updates that </w:t>
      </w:r>
      <w:r>
        <w:rPr>
          <w:szCs w:val="22"/>
        </w:rPr>
        <w:t xml:space="preserve">would otherwise </w:t>
      </w:r>
      <w:r w:rsidRPr="001F18EB">
        <w:rPr>
          <w:szCs w:val="22"/>
        </w:rPr>
        <w:t>mitigate harm to U.S. consumers</w:t>
      </w:r>
      <w:r>
        <w:rPr>
          <w:szCs w:val="22"/>
        </w:rPr>
        <w:t xml:space="preserve">.  As a result, </w:t>
      </w:r>
      <w:r w:rsidRPr="0051505E">
        <w:rPr>
          <w:szCs w:val="22"/>
        </w:rPr>
        <w:t xml:space="preserve">OET announced </w:t>
      </w:r>
      <w:r>
        <w:rPr>
          <w:szCs w:val="22"/>
        </w:rPr>
        <w:t xml:space="preserve">a </w:t>
      </w:r>
      <w:r w:rsidRPr="0051505E">
        <w:rPr>
          <w:szCs w:val="22"/>
        </w:rPr>
        <w:t>waiver of th</w:t>
      </w:r>
      <w:r>
        <w:rPr>
          <w:szCs w:val="22"/>
        </w:rPr>
        <w:t>ose</w:t>
      </w:r>
      <w:r w:rsidRPr="0051505E">
        <w:rPr>
          <w:szCs w:val="22"/>
        </w:rPr>
        <w:t xml:space="preserve"> prohibitions</w:t>
      </w:r>
      <w:r>
        <w:rPr>
          <w:szCs w:val="22"/>
        </w:rPr>
        <w:t xml:space="preserve">, permitting Covered Routers </w:t>
      </w:r>
      <w:r w:rsidRPr="0051505E">
        <w:rPr>
          <w:szCs w:val="22"/>
        </w:rPr>
        <w:t xml:space="preserve">to continue to receive software and firmware </w:t>
      </w:r>
      <w:r>
        <w:rPr>
          <w:szCs w:val="22"/>
        </w:rPr>
        <w:t>Class I permissive changes</w:t>
      </w:r>
      <w:r w:rsidRPr="0051505E">
        <w:rPr>
          <w:szCs w:val="22"/>
        </w:rPr>
        <w:t xml:space="preserve"> that mitigate harm to U.S. consumers until January 1, 2027</w:t>
      </w:r>
      <w:r>
        <w:rPr>
          <w:szCs w:val="22"/>
        </w:rPr>
        <w:t>.</w:t>
      </w:r>
      <w:r>
        <w:rPr>
          <w:rStyle w:val="FootnoteReference"/>
          <w:szCs w:val="22"/>
        </w:rPr>
        <w:footnoteReference w:id="6"/>
      </w:r>
      <w:r>
        <w:rPr>
          <w:szCs w:val="22"/>
        </w:rPr>
        <w:t xml:space="preserve">  </w:t>
      </w:r>
      <w:r w:rsidRPr="00885DD3">
        <w:rPr>
          <w:szCs w:val="22"/>
        </w:rPr>
        <w:t xml:space="preserve">On May 8, 2026, OET extended </w:t>
      </w:r>
      <w:r>
        <w:rPr>
          <w:szCs w:val="22"/>
        </w:rPr>
        <w:t xml:space="preserve">that waiver </w:t>
      </w:r>
      <w:r w:rsidRPr="00885DD3">
        <w:rPr>
          <w:szCs w:val="22"/>
        </w:rPr>
        <w:t>through January 1, 2029</w:t>
      </w:r>
      <w:r>
        <w:rPr>
          <w:szCs w:val="22"/>
        </w:rPr>
        <w:t xml:space="preserve">, </w:t>
      </w:r>
      <w:r w:rsidRPr="00885DD3">
        <w:rPr>
          <w:szCs w:val="22"/>
        </w:rPr>
        <w:t>and expanded</w:t>
      </w:r>
      <w:r>
        <w:rPr>
          <w:szCs w:val="22"/>
        </w:rPr>
        <w:t xml:space="preserve"> it to include</w:t>
      </w:r>
      <w:r w:rsidRPr="00885DD3">
        <w:rPr>
          <w:szCs w:val="22"/>
        </w:rPr>
        <w:t xml:space="preserve"> </w:t>
      </w:r>
      <w:r>
        <w:rPr>
          <w:szCs w:val="22"/>
        </w:rPr>
        <w:t xml:space="preserve">software and firmware </w:t>
      </w:r>
      <w:r w:rsidRPr="00885DD3">
        <w:rPr>
          <w:szCs w:val="22"/>
        </w:rPr>
        <w:t>Class II permissive changes that mitigate harm to U.S. consumers.</w:t>
      </w:r>
      <w:r>
        <w:rPr>
          <w:rStyle w:val="FootnoteReference"/>
          <w:szCs w:val="22"/>
        </w:rPr>
        <w:footnoteReference w:id="7"/>
      </w:r>
      <w:r w:rsidRPr="00885DD3">
        <w:rPr>
          <w:szCs w:val="22"/>
        </w:rPr>
        <w:t xml:space="preserve"> </w:t>
      </w:r>
      <w:r>
        <w:rPr>
          <w:szCs w:val="22"/>
        </w:rPr>
        <w:t xml:space="preserve"> Hardware or other permissive changes to Covered Routers are not included in these waivers and are still prohibited under the Commission’s rules. </w:t>
      </w:r>
    </w:p>
    <w:p w14:paraId="7B9B3EA3" w14:textId="77777777" w:rsidR="00E708EC" w:rsidRPr="00CC1B38" w:rsidRDefault="000F62B6" w:rsidP="00E708EC">
      <w:pPr>
        <w:pStyle w:val="ParaNum0"/>
        <w:numPr>
          <w:ilvl w:val="0"/>
          <w:numId w:val="11"/>
        </w:numPr>
        <w:tabs>
          <w:tab w:val="clear" w:pos="1080"/>
          <w:tab w:val="num" w:pos="1440"/>
        </w:tabs>
      </w:pPr>
      <w:r w:rsidRPr="00CC1B38">
        <w:t xml:space="preserve">On </w:t>
      </w:r>
      <w:r>
        <w:t>June 2</w:t>
      </w:r>
      <w:r w:rsidRPr="00CC1B38">
        <w:t>, 202</w:t>
      </w:r>
      <w:r>
        <w:t>6</w:t>
      </w:r>
      <w:r w:rsidRPr="00CC1B38">
        <w:t xml:space="preserve">, </w:t>
      </w:r>
      <w:r>
        <w:t xml:space="preserve">Sercomm </w:t>
      </w:r>
      <w:r w:rsidRPr="00CC1B38">
        <w:t xml:space="preserve">filed a </w:t>
      </w:r>
      <w:r w:rsidRPr="00DE3D97">
        <w:t>request</w:t>
      </w:r>
      <w:r w:rsidRPr="00CC1B38">
        <w:t xml:space="preserve"> for a waiver of </w:t>
      </w:r>
      <w:r w:rsidRPr="00C01C0A">
        <w:t xml:space="preserve">Sections 2.932(b) and 2.1043(b) </w:t>
      </w:r>
      <w:r w:rsidRPr="00CC1B38">
        <w:t>of the Commission’s rules</w:t>
      </w:r>
      <w:r>
        <w:t xml:space="preserve"> to </w:t>
      </w:r>
      <w:r w:rsidRPr="00183DD1">
        <w:t>make two types of necessary Class I and Class II hardware changes to consumer-grade routers</w:t>
      </w:r>
      <w:r>
        <w:t xml:space="preserve"> </w:t>
      </w:r>
      <w:r w:rsidRPr="00192C75">
        <w:t>in order to</w:t>
      </w:r>
      <w:r w:rsidRPr="0071287F">
        <w:t xml:space="preserve"> substitute discrete end-of-life components</w:t>
      </w:r>
      <w:r>
        <w:t xml:space="preserve">, </w:t>
      </w:r>
      <w:r w:rsidRPr="0071287F">
        <w:t>including diodes, crystals, and inductors</w:t>
      </w:r>
      <w:r>
        <w:t>, as well as memory components affected by supply chain shortages</w:t>
      </w:r>
      <w:r w:rsidRPr="00192C75">
        <w:t>.</w:t>
      </w:r>
      <w:r>
        <w:rPr>
          <w:vertAlign w:val="superscript"/>
        </w:rPr>
        <w:footnoteReference w:id="8"/>
      </w:r>
      <w:r>
        <w:t xml:space="preserve">  Sercomm</w:t>
      </w:r>
      <w:r w:rsidRPr="00EC0D94">
        <w:t xml:space="preserve"> indicated these changes would otherwise comply with the Class I and Class II permissive change requirements in Section 2.1043, and that </w:t>
      </w:r>
      <w:r>
        <w:t>the hardware changes</w:t>
      </w:r>
      <w:r w:rsidRPr="00EC0D94">
        <w:t xml:space="preserve"> (i) would not improve performance or capability or alter the functionality of the previously-authorized device; (ii) will not be used to market the device as a distinct model; and (iii) will not involve swapping a U.S.- produced component for a foreign produced component.</w:t>
      </w:r>
      <w:r>
        <w:rPr>
          <w:rStyle w:val="FootnoteReference"/>
        </w:rPr>
        <w:footnoteReference w:id="9"/>
      </w:r>
    </w:p>
    <w:p w14:paraId="0DBEFDE9" w14:textId="77777777" w:rsidR="00E708EC" w:rsidRPr="00596286" w:rsidRDefault="000F62B6" w:rsidP="00E708EC">
      <w:pPr>
        <w:pStyle w:val="ParaNum0"/>
        <w:keepNext/>
        <w:numPr>
          <w:ilvl w:val="0"/>
          <w:numId w:val="3"/>
        </w:numPr>
        <w:tabs>
          <w:tab w:val="left" w:pos="720"/>
        </w:tabs>
        <w:suppressAutoHyphens/>
        <w:outlineLvl w:val="0"/>
        <w:rPr>
          <w:rFonts w:ascii="Times New Roman Bold" w:hAnsi="Times New Roman Bold"/>
          <w:b/>
          <w:caps/>
        </w:rPr>
      </w:pPr>
      <w:r w:rsidRPr="00596286">
        <w:rPr>
          <w:rFonts w:ascii="Times New Roman Bold" w:hAnsi="Times New Roman Bold"/>
          <w:b/>
          <w:caps/>
        </w:rPr>
        <w:t>Discussion</w:t>
      </w:r>
    </w:p>
    <w:p w14:paraId="731F8F82" w14:textId="77777777" w:rsidR="00E708EC" w:rsidRDefault="000F62B6" w:rsidP="00E708EC">
      <w:pPr>
        <w:pStyle w:val="ParaNum0"/>
        <w:numPr>
          <w:ilvl w:val="0"/>
          <w:numId w:val="11"/>
        </w:numPr>
        <w:tabs>
          <w:tab w:val="clear" w:pos="1080"/>
          <w:tab w:val="num" w:pos="1440"/>
        </w:tabs>
      </w:pPr>
      <w:r w:rsidRPr="00455445">
        <w:t>We are authorized to grant a waiver under Section 1.3 of the Commission's rules if the petitioner demonstrates good cause for such action.</w:t>
      </w:r>
      <w:bookmarkStart w:id="0" w:name="FN[FN17]"/>
      <w:bookmarkEnd w:id="0"/>
      <w:r>
        <w:rPr>
          <w:vertAlign w:val="superscript"/>
        </w:rPr>
        <w:footnoteReference w:id="10"/>
      </w:r>
      <w:r w:rsidRPr="00455445">
        <w:t xml:space="preserve">  Good cause, in turn, may be found and a waiver granted “where particular facts would make strict compliance inconsistent with the public interest.”</w:t>
      </w:r>
      <w:bookmarkStart w:id="1" w:name="FN[FN18]"/>
      <w:bookmarkEnd w:id="1"/>
      <w:r>
        <w:rPr>
          <w:vertAlign w:val="superscript"/>
        </w:rPr>
        <w:footnoteReference w:id="11"/>
      </w:r>
      <w:r w:rsidRPr="00455445">
        <w:t xml:space="preserve">  To make this public interest determination, the waiver cannot undermine the purposes of the rule, and there must be a stronger public interest benefit in </w:t>
      </w:r>
      <w:bookmarkStart w:id="2" w:name="sp_1511_4275"/>
      <w:bookmarkStart w:id="3" w:name="SDU_4275"/>
      <w:bookmarkStart w:id="4" w:name="citeas((Cite_as:_22_F.C.C.R._4272,_*4275"/>
      <w:bookmarkEnd w:id="2"/>
      <w:bookmarkEnd w:id="3"/>
      <w:bookmarkEnd w:id="4"/>
      <w:r w:rsidRPr="00455445">
        <w:t>granting the waiver than in applying the rule.</w:t>
      </w:r>
      <w:bookmarkStart w:id="5" w:name="FN[FN19]"/>
      <w:bookmarkEnd w:id="5"/>
      <w:r>
        <w:rPr>
          <w:vertAlign w:val="superscript"/>
        </w:rPr>
        <w:footnoteReference w:id="12"/>
      </w:r>
      <w:r w:rsidRPr="00875253">
        <w:t xml:space="preserve"> </w:t>
      </w:r>
    </w:p>
    <w:p w14:paraId="1CD17374" w14:textId="77777777" w:rsidR="00E708EC" w:rsidRDefault="000F62B6" w:rsidP="00E708EC">
      <w:pPr>
        <w:pStyle w:val="ParaNum0"/>
        <w:numPr>
          <w:ilvl w:val="0"/>
          <w:numId w:val="11"/>
        </w:numPr>
        <w:tabs>
          <w:tab w:val="clear" w:pos="1080"/>
          <w:tab w:val="num" w:pos="1440"/>
        </w:tabs>
      </w:pPr>
      <w:r>
        <w:t>We</w:t>
      </w:r>
      <w:r w:rsidRPr="00A31D0C">
        <w:t xml:space="preserve"> find that </w:t>
      </w:r>
      <w:r>
        <w:t>granting Sercomm’s</w:t>
      </w:r>
      <w:r w:rsidRPr="00A31D0C">
        <w:t xml:space="preserve"> request for waiver</w:t>
      </w:r>
      <w:r>
        <w:t xml:space="preserve"> </w:t>
      </w:r>
      <w:r w:rsidRPr="00A31D0C">
        <w:t xml:space="preserve">meets the waiver standard because </w:t>
      </w:r>
      <w:r>
        <w:t>of the specific facts in the waiver request.  These include the unavoidable supply-chain shortages</w:t>
      </w:r>
      <w:r w:rsidRPr="00A31D0C">
        <w:t xml:space="preserve"> </w:t>
      </w:r>
      <w:r>
        <w:t xml:space="preserve">requiring the substitution of memory components and the replacement of discrete </w:t>
      </w:r>
      <w:r w:rsidRPr="008E5185">
        <w:t>end-of-life component</w:t>
      </w:r>
      <w:r>
        <w:t xml:space="preserve">s, </w:t>
      </w:r>
      <w:r>
        <w:lastRenderedPageBreak/>
        <w:t>which if not addressed could cause</w:t>
      </w:r>
      <w:r w:rsidRPr="00AC78F6">
        <w:t xml:space="preserve"> meaningful disruptions </w:t>
      </w:r>
      <w:r>
        <w:t xml:space="preserve">in </w:t>
      </w:r>
      <w:r w:rsidRPr="00AC78F6">
        <w:t xml:space="preserve">the </w:t>
      </w:r>
      <w:r w:rsidRPr="00905481">
        <w:t>availability</w:t>
      </w:r>
      <w:r>
        <w:t xml:space="preserve"> of </w:t>
      </w:r>
      <w:r w:rsidRPr="00AC78F6">
        <w:t>broadband equipment</w:t>
      </w:r>
      <w:r w:rsidRPr="00A31D0C">
        <w:t>.</w:t>
      </w:r>
      <w:r>
        <w:rPr>
          <w:rStyle w:val="FootnoteReference"/>
        </w:rPr>
        <w:footnoteReference w:id="13"/>
      </w:r>
      <w:r>
        <w:t xml:space="preserve">  Moreover, this waiver does not undermine the national security and public safety purpose of the rule, given that, among other facts, the hardware changes will not improve performance or capability or alter the functionality of the previously-authorized device; will not be used to market the device as a distinct model; and will not involve swapping a U.S.-produced component for a foreign produced component.</w:t>
      </w:r>
      <w:r>
        <w:rPr>
          <w:rStyle w:val="FootnoteReference"/>
        </w:rPr>
        <w:footnoteReference w:id="14"/>
      </w:r>
      <w:r>
        <w:t xml:space="preserve"> </w:t>
      </w:r>
    </w:p>
    <w:p w14:paraId="2A46DB1F" w14:textId="77777777" w:rsidR="00E708EC" w:rsidRDefault="000F62B6" w:rsidP="00E708EC">
      <w:pPr>
        <w:pStyle w:val="ParaNum0"/>
        <w:widowControl/>
        <w:numPr>
          <w:ilvl w:val="0"/>
          <w:numId w:val="11"/>
        </w:numPr>
        <w:tabs>
          <w:tab w:val="clear" w:pos="1080"/>
          <w:tab w:val="num" w:pos="1440"/>
        </w:tabs>
      </w:pPr>
      <w:r>
        <w:t xml:space="preserve">We therefore grant Sercomm’s waiver request for a period of one year, until June 9, 2027, for the limited purpose of making hardware Class I and Class II permissive changes </w:t>
      </w:r>
      <w:r w:rsidRPr="00DB479B">
        <w:t>to substitute discrete end-of-life components</w:t>
      </w:r>
      <w:r>
        <w:t xml:space="preserve">, </w:t>
      </w:r>
      <w:r w:rsidRPr="00DB479B">
        <w:t>including diodes, crystals, and inductors</w:t>
      </w:r>
      <w:r>
        <w:t>,</w:t>
      </w:r>
      <w:r w:rsidRPr="00EB428C">
        <w:t xml:space="preserve"> in </w:t>
      </w:r>
      <w:r>
        <w:t xml:space="preserve">its </w:t>
      </w:r>
      <w:r w:rsidRPr="00EB428C">
        <w:t>previously certified routers that are</w:t>
      </w:r>
      <w:r>
        <w:t xml:space="preserve"> now</w:t>
      </w:r>
      <w:r w:rsidRPr="00EB428C">
        <w:t xml:space="preserve"> on the Covered List</w:t>
      </w:r>
      <w:r>
        <w:t xml:space="preserve">, </w:t>
      </w:r>
      <w:r w:rsidRPr="00E7063D">
        <w:t xml:space="preserve">so long as they are otherwise consistent with </w:t>
      </w:r>
      <w:r>
        <w:t>the</w:t>
      </w:r>
      <w:r w:rsidRPr="00E7063D">
        <w:t xml:space="preserve"> regulations in 47 CFR §</w:t>
      </w:r>
      <w:r>
        <w:t xml:space="preserve"> 2.1043</w:t>
      </w:r>
      <w:r w:rsidRPr="00EB428C">
        <w:t xml:space="preserve">.  </w:t>
      </w:r>
      <w:r>
        <w:t xml:space="preserve">The prohibitions in </w:t>
      </w:r>
      <w:r w:rsidRPr="001F18EB">
        <w:rPr>
          <w:szCs w:val="22"/>
        </w:rPr>
        <w:t>47 CFR §§ 2.932(b) and 2.1043(b)</w:t>
      </w:r>
      <w:r>
        <w:rPr>
          <w:szCs w:val="22"/>
        </w:rPr>
        <w:t xml:space="preserve"> remain in effect for all other hardware modifications to covered equipment.</w:t>
      </w:r>
    </w:p>
    <w:p w14:paraId="7B50EDA7" w14:textId="77777777" w:rsidR="00E708EC" w:rsidRPr="00EE7260" w:rsidRDefault="000F62B6" w:rsidP="00E708EC">
      <w:pPr>
        <w:keepNext/>
        <w:numPr>
          <w:ilvl w:val="0"/>
          <w:numId w:val="3"/>
        </w:numPr>
        <w:tabs>
          <w:tab w:val="left" w:pos="720"/>
        </w:tabs>
        <w:suppressAutoHyphens/>
        <w:spacing w:after="120"/>
        <w:jc w:val="both"/>
        <w:outlineLvl w:val="0"/>
        <w:rPr>
          <w:rFonts w:ascii="Times New Roman Bold" w:hAnsi="Times New Roman Bold"/>
          <w:b/>
          <w:bCs/>
          <w:caps/>
        </w:rPr>
      </w:pPr>
      <w:r w:rsidRPr="00EE7260">
        <w:rPr>
          <w:rFonts w:ascii="Times New Roman Bold" w:hAnsi="Times New Roman Bold"/>
          <w:b/>
          <w:bCs/>
          <w:caps/>
        </w:rPr>
        <w:t xml:space="preserve">ORDERING </w:t>
      </w:r>
      <w:r w:rsidRPr="00EE7260">
        <w:rPr>
          <w:rFonts w:ascii="Times New Roman Bold" w:hAnsi="Times New Roman Bold"/>
          <w:b/>
          <w:caps/>
        </w:rPr>
        <w:t>CLAUSES</w:t>
      </w:r>
    </w:p>
    <w:p w14:paraId="6ABA251D" w14:textId="77777777" w:rsidR="00E708EC" w:rsidRPr="00EE7260" w:rsidRDefault="000F62B6" w:rsidP="00E708EC">
      <w:pPr>
        <w:pStyle w:val="ParaNum0"/>
        <w:numPr>
          <w:ilvl w:val="0"/>
          <w:numId w:val="11"/>
        </w:numPr>
        <w:tabs>
          <w:tab w:val="clear" w:pos="1080"/>
          <w:tab w:val="num" w:pos="1440"/>
        </w:tabs>
        <w:rPr>
          <w:szCs w:val="22"/>
        </w:rPr>
      </w:pPr>
      <w:r w:rsidRPr="00EE7260">
        <w:t>Accordingly, pursuant to authority delegated in Sections 0.31</w:t>
      </w:r>
      <w:r>
        <w:t xml:space="preserve">, </w:t>
      </w:r>
      <w:r w:rsidRPr="00EE7260">
        <w:t xml:space="preserve">0.241 </w:t>
      </w:r>
      <w:r>
        <w:t xml:space="preserve">and 1.3 </w:t>
      </w:r>
      <w:r w:rsidRPr="00EE7260">
        <w:t xml:space="preserve">of the Commission's rules, 47 CFR §§ 0.31, 0.241, </w:t>
      </w:r>
      <w:r>
        <w:t>and</w:t>
      </w:r>
      <w:r w:rsidRPr="00EE7260">
        <w:t xml:space="preserve"> 1.3, </w:t>
      </w:r>
      <w:r w:rsidRPr="0073611B">
        <w:t>and Sections 4(i), 302, 303(e), and 303(r) of the Communications Act of 1934, as amended, 47 U.S.C. §§ 154(i), 302</w:t>
      </w:r>
      <w:r>
        <w:t>a</w:t>
      </w:r>
      <w:r w:rsidRPr="0073611B">
        <w:t>, 303(e), and 303(r),</w:t>
      </w:r>
      <w:r>
        <w:t xml:space="preserve"> </w:t>
      </w:r>
      <w:r w:rsidRPr="00EE7260">
        <w:t xml:space="preserve">IT IS ORDERED that the Request for Waiver filed by </w:t>
      </w:r>
      <w:r>
        <w:t xml:space="preserve">Sercomm </w:t>
      </w:r>
      <w:r w:rsidRPr="00EE7260">
        <w:t xml:space="preserve">on </w:t>
      </w:r>
      <w:r>
        <w:t>June 2, 2026</w:t>
      </w:r>
      <w:r w:rsidRPr="00EE7260">
        <w:t xml:space="preserve"> IS GRANTED consistent with the terms of this Order.  This action is effective upon release of this Order.</w:t>
      </w:r>
    </w:p>
    <w:p w14:paraId="022EB6B6" w14:textId="77777777" w:rsidR="00E708EC" w:rsidRDefault="00E708EC" w:rsidP="00E708EC">
      <w:pPr>
        <w:pStyle w:val="ParaNum0"/>
        <w:numPr>
          <w:ilvl w:val="0"/>
          <w:numId w:val="0"/>
        </w:numPr>
        <w:ind w:left="720"/>
      </w:pPr>
    </w:p>
    <w:p w14:paraId="55240A2E" w14:textId="77777777" w:rsidR="00E708EC" w:rsidRDefault="000F62B6" w:rsidP="00E708EC">
      <w:r>
        <w:tab/>
      </w:r>
      <w:r>
        <w:tab/>
      </w:r>
      <w:r>
        <w:tab/>
      </w:r>
      <w:r>
        <w:tab/>
      </w:r>
      <w:r>
        <w:tab/>
      </w:r>
      <w:r>
        <w:tab/>
      </w:r>
      <w:r>
        <w:t>FEDERAL COMMUNICATIONS COMMISSION</w:t>
      </w:r>
    </w:p>
    <w:p w14:paraId="62A76B0A" w14:textId="77777777" w:rsidR="00E708EC" w:rsidRDefault="00E708EC" w:rsidP="00E708EC"/>
    <w:p w14:paraId="4BC257CB" w14:textId="77777777" w:rsidR="00E708EC" w:rsidRDefault="00E708EC" w:rsidP="00E708EC"/>
    <w:p w14:paraId="79AED591" w14:textId="77777777" w:rsidR="00E708EC" w:rsidRDefault="00E708EC" w:rsidP="00E708EC"/>
    <w:p w14:paraId="43441F2D" w14:textId="77777777" w:rsidR="00E708EC" w:rsidRDefault="000F62B6" w:rsidP="00E708EC">
      <w:r>
        <w:tab/>
      </w:r>
      <w:r>
        <w:tab/>
      </w:r>
      <w:r>
        <w:tab/>
      </w:r>
      <w:r>
        <w:tab/>
      </w:r>
      <w:r>
        <w:tab/>
      </w:r>
      <w:r>
        <w:tab/>
      </w:r>
    </w:p>
    <w:p w14:paraId="276CD2CC" w14:textId="77777777" w:rsidR="00E708EC" w:rsidRDefault="000F62B6" w:rsidP="00E708EC">
      <w:pPr>
        <w:ind w:left="4320"/>
      </w:pPr>
      <w:r>
        <w:t>Andrew Hendrickson</w:t>
      </w:r>
    </w:p>
    <w:p w14:paraId="05EB5245" w14:textId="194F3444" w:rsidR="00412FC5" w:rsidRPr="00E708EC" w:rsidRDefault="000F62B6" w:rsidP="00E708EC">
      <w:r>
        <w:tab/>
      </w:r>
      <w:r>
        <w:tab/>
      </w:r>
      <w:r>
        <w:tab/>
      </w:r>
      <w:r>
        <w:tab/>
      </w:r>
      <w:r>
        <w:tab/>
        <w:t xml:space="preserve"> </w:t>
      </w:r>
      <w:r>
        <w:tab/>
      </w:r>
      <w:r w:rsidRPr="00EE7260">
        <w:t>Chief, Office of Engineering and Technology</w:t>
      </w:r>
    </w:p>
    <w:sectPr w:rsidR="00412FC5" w:rsidRPr="00E708EC"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0408" w14:textId="77777777" w:rsidR="000F62B6" w:rsidRDefault="000F62B6">
      <w:pPr>
        <w:spacing w:line="20" w:lineRule="exact"/>
      </w:pPr>
    </w:p>
  </w:endnote>
  <w:endnote w:type="continuationSeparator" w:id="0">
    <w:p w14:paraId="5BE123B2" w14:textId="77777777" w:rsidR="000F62B6" w:rsidRDefault="000F62B6">
      <w:r>
        <w:t xml:space="preserve"> </w:t>
      </w:r>
    </w:p>
  </w:endnote>
  <w:endnote w:type="continuationNotice" w:id="1">
    <w:p w14:paraId="519BC5C3" w14:textId="77777777" w:rsidR="000F62B6" w:rsidRDefault="000F62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EE63" w14:textId="77777777" w:rsidR="00D25FB5" w:rsidRDefault="000F62B6" w:rsidP="0055614C">
    <w:pPr>
      <w:pStyle w:val="Footer"/>
      <w:framePr w:wrap="around" w:vAnchor="text" w:hAnchor="margin" w:xAlign="center" w:y="1"/>
    </w:pPr>
    <w:r>
      <w:fldChar w:fldCharType="begin"/>
    </w:r>
    <w:r>
      <w:instrText xml:space="preserve">PAGE  </w:instrText>
    </w:r>
    <w:r>
      <w:fldChar w:fldCharType="separate"/>
    </w:r>
    <w:r>
      <w:fldChar w:fldCharType="end"/>
    </w:r>
  </w:p>
  <w:p w14:paraId="3D5D0057" w14:textId="77777777" w:rsidR="00D25FB5" w:rsidRDefault="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F74" w14:textId="20FA7262" w:rsidR="00D25FB5" w:rsidRDefault="000F62B6" w:rsidP="00E708E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1870" w14:textId="77777777" w:rsidR="00D25FB5" w:rsidRDefault="00D25FB5">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E9A9" w14:textId="77777777" w:rsidR="000F62B6" w:rsidRDefault="000F62B6">
      <w:r>
        <w:separator/>
      </w:r>
    </w:p>
  </w:footnote>
  <w:footnote w:type="continuationSeparator" w:id="0">
    <w:p w14:paraId="4BFE2C17" w14:textId="77777777" w:rsidR="000F62B6" w:rsidRDefault="000F62B6" w:rsidP="00C721AC">
      <w:pPr>
        <w:spacing w:before="120"/>
        <w:rPr>
          <w:sz w:val="20"/>
        </w:rPr>
      </w:pPr>
      <w:r>
        <w:rPr>
          <w:sz w:val="20"/>
        </w:rPr>
        <w:t xml:space="preserve">(Continued from previous page)  </w:t>
      </w:r>
      <w:r>
        <w:rPr>
          <w:sz w:val="20"/>
        </w:rPr>
        <w:separator/>
      </w:r>
    </w:p>
  </w:footnote>
  <w:footnote w:type="continuationNotice" w:id="1">
    <w:p w14:paraId="02F51994" w14:textId="77777777" w:rsidR="000F62B6" w:rsidRDefault="000F62B6" w:rsidP="00C721AC">
      <w:pPr>
        <w:jc w:val="right"/>
        <w:rPr>
          <w:sz w:val="20"/>
        </w:rPr>
      </w:pPr>
      <w:r>
        <w:rPr>
          <w:sz w:val="20"/>
        </w:rPr>
        <w:t>(continued….)</w:t>
      </w:r>
    </w:p>
  </w:footnote>
  <w:footnote w:id="2">
    <w:p w14:paraId="6220C1CE" w14:textId="77777777" w:rsidR="00E708EC" w:rsidRDefault="000F62B6" w:rsidP="00E708EC">
      <w:pPr>
        <w:pStyle w:val="FootnoteText"/>
      </w:pPr>
      <w:r>
        <w:rPr>
          <w:rStyle w:val="FootnoteReference"/>
        </w:rPr>
        <w:footnoteRef/>
      </w:r>
      <w:r>
        <w:t xml:space="preserve"> </w:t>
      </w:r>
      <w:r w:rsidRPr="00220FD4">
        <w:t>Sercomm Corporation</w:t>
      </w:r>
      <w:r>
        <w:t>, Petition for Expedited Waiver of Sections 2.932(b) and 2.1043(b) of the Commission’s Rules to Permit Targeted Class I and Class II Permissive Hardware Changes to Covered Routers, ET Docket No. 21-232 (filed June 2, 2026) (Sercomm Waiver Request).</w:t>
      </w:r>
    </w:p>
  </w:footnote>
  <w:footnote w:id="3">
    <w:p w14:paraId="1DB7ECD5" w14:textId="77777777" w:rsidR="00E708EC" w:rsidRDefault="000F62B6" w:rsidP="00E708EC">
      <w:pPr>
        <w:pStyle w:val="FootnoteText"/>
      </w:pPr>
      <w:r>
        <w:rPr>
          <w:rStyle w:val="FootnoteReference"/>
        </w:rPr>
        <w:footnoteRef/>
      </w:r>
      <w:r>
        <w:t xml:space="preserve"> </w:t>
      </w:r>
      <w:r w:rsidRPr="00EC0F96">
        <w:t xml:space="preserve"> </w:t>
      </w:r>
      <w:r w:rsidRPr="00A10A9A">
        <w:rPr>
          <w:i/>
          <w:iCs/>
        </w:rPr>
        <w:t>In the Matter of Protecting Against National Security Threats to the Communications Supply Chain through the Equipment Authorization Program</w:t>
      </w:r>
      <w:r w:rsidRPr="00A10A9A">
        <w:t>, ET Docket No. 21-232, Second Report and Order and Further Notice of Proposed Rulemaking, ¶ 55 (rel. Oct. 29, 2025)</w:t>
      </w:r>
      <w:r>
        <w:t>, 90 Fed. Reg. 53227 (Nov. 25, 2025) (rules effective Dec. 26, 2025)</w:t>
      </w:r>
      <w:r w:rsidRPr="00EC0F96">
        <w:t xml:space="preserve">. </w:t>
      </w:r>
    </w:p>
  </w:footnote>
  <w:footnote w:id="4">
    <w:p w14:paraId="3405578F" w14:textId="77777777" w:rsidR="00E708EC" w:rsidRDefault="000F62B6" w:rsidP="00E708EC">
      <w:pPr>
        <w:pStyle w:val="FootnoteText"/>
      </w:pPr>
      <w:r>
        <w:rPr>
          <w:rStyle w:val="FootnoteReference"/>
        </w:rPr>
        <w:footnoteRef/>
      </w:r>
      <w:r>
        <w:t xml:space="preserve"> </w:t>
      </w:r>
      <w:r w:rsidRPr="00DB785C">
        <w:t xml:space="preserve">47 CFR §§ 2.932(b), 2.1043(b). </w:t>
      </w:r>
    </w:p>
  </w:footnote>
  <w:footnote w:id="5">
    <w:p w14:paraId="4BFCDAEC" w14:textId="77777777" w:rsidR="00E708EC" w:rsidRDefault="000F62B6" w:rsidP="00E708EC">
      <w:pPr>
        <w:pStyle w:val="FootnoteText"/>
      </w:pPr>
      <w:r>
        <w:rPr>
          <w:rStyle w:val="FootnoteReference"/>
        </w:rPr>
        <w:footnoteRef/>
      </w:r>
      <w:r>
        <w:t xml:space="preserve"> </w:t>
      </w:r>
      <w:r w:rsidRPr="00FA01FF">
        <w:t xml:space="preserve">Public Safety and Homeland Security Bureau Announces Addition of Routers Produced in Foreign Countries to FCC Covered List, WC Docket No. 18-89, </w:t>
      </w:r>
      <w:r w:rsidRPr="00A92D6A">
        <w:rPr>
          <w:i/>
          <w:iCs/>
        </w:rPr>
        <w:t>Public Notice</w:t>
      </w:r>
      <w:r w:rsidRPr="00FA01FF">
        <w:t xml:space="preserve">, DA 26-278 (Mar. 23, 2026) (Routers Public Notice).  For the current version of the Covered List and Conditional Approvals, see Federal Communications Commission, List of Equipment and Services Covered By Section 2 of The Secure Networks Act, </w:t>
      </w:r>
      <w:hyperlink r:id="rId1" w:history="1">
        <w:r w:rsidR="00E708EC" w:rsidRPr="001311AA">
          <w:rPr>
            <w:rStyle w:val="Hyperlink"/>
          </w:rPr>
          <w:t>https://www.fcc.gov/supplychain/coveredlist</w:t>
        </w:r>
      </w:hyperlink>
      <w:r w:rsidRPr="00FA01FF">
        <w:t xml:space="preserve">.  The term “Routers” is defined by National Institute of Standards and Technology Internal Report 8425A to include consumer-grade networking devices that are primarily intended for residential use and can be installed by the customer.  Routers forward data packets, most commonly Internet Protocol (IP) packets, between networked systems.  </w:t>
      </w:r>
    </w:p>
  </w:footnote>
  <w:footnote w:id="6">
    <w:p w14:paraId="3E675EA2" w14:textId="77777777" w:rsidR="00E708EC" w:rsidRDefault="000F62B6" w:rsidP="00E708EC">
      <w:pPr>
        <w:pStyle w:val="FootnoteText"/>
      </w:pPr>
      <w:r>
        <w:rPr>
          <w:rStyle w:val="FootnoteReference"/>
        </w:rPr>
        <w:footnoteRef/>
      </w:r>
      <w:r>
        <w:t xml:space="preserve"> </w:t>
      </w:r>
      <w:r w:rsidRPr="002A3297">
        <w:t xml:space="preserve">Office of Engineering and Technology and Technology Announces Waiver of Prohibitions on Certain Class I Permissive Changes to Covered Routers, </w:t>
      </w:r>
      <w:r w:rsidRPr="002A3297">
        <w:rPr>
          <w:i/>
          <w:iCs/>
        </w:rPr>
        <w:t>Public Notice</w:t>
      </w:r>
      <w:r w:rsidRPr="002A3297">
        <w:t>, DA 26-286 (Mar. 23, 2026).</w:t>
      </w:r>
    </w:p>
  </w:footnote>
  <w:footnote w:id="7">
    <w:p w14:paraId="1EA650F5" w14:textId="77777777" w:rsidR="00E708EC" w:rsidRDefault="000F62B6" w:rsidP="00E708EC">
      <w:pPr>
        <w:pStyle w:val="FootnoteText"/>
      </w:pPr>
      <w:r>
        <w:rPr>
          <w:rStyle w:val="FootnoteReference"/>
        </w:rPr>
        <w:footnoteRef/>
      </w:r>
      <w:r>
        <w:t xml:space="preserve"> </w:t>
      </w:r>
      <w:r w:rsidRPr="002A3297">
        <w:t xml:space="preserve">Office of Engineering and Technology and Technology Announces </w:t>
      </w:r>
      <w:r>
        <w:t xml:space="preserve">Extension and Expansion of </w:t>
      </w:r>
      <w:r w:rsidRPr="002A3297">
        <w:t xml:space="preserve">Waiver of Prohibitions on </w:t>
      </w:r>
      <w:r>
        <w:t>Software and Firmware Permissive Changes to Certain Covered UAS, UAS Critical Components and Routers</w:t>
      </w:r>
      <w:r w:rsidRPr="002A3297">
        <w:rPr>
          <w:i/>
          <w:iCs/>
        </w:rPr>
        <w:t>, Public Notice</w:t>
      </w:r>
      <w:r w:rsidRPr="002A3297">
        <w:t>, DA 26-</w:t>
      </w:r>
      <w:r>
        <w:t>454</w:t>
      </w:r>
      <w:r w:rsidRPr="002A3297">
        <w:t xml:space="preserve"> (Ma</w:t>
      </w:r>
      <w:r>
        <w:t>y 8</w:t>
      </w:r>
      <w:r w:rsidRPr="002A3297">
        <w:t>, 2026).</w:t>
      </w:r>
    </w:p>
  </w:footnote>
  <w:footnote w:id="8">
    <w:p w14:paraId="6D7C9441" w14:textId="77777777" w:rsidR="00E708EC" w:rsidRDefault="000F62B6" w:rsidP="00E708EC">
      <w:pPr>
        <w:pStyle w:val="FootnoteText"/>
      </w:pPr>
      <w:r>
        <w:rPr>
          <w:rStyle w:val="FootnoteReference"/>
        </w:rPr>
        <w:footnoteRef/>
      </w:r>
      <w:r>
        <w:t xml:space="preserve"> Sercomm</w:t>
      </w:r>
      <w:r w:rsidRPr="00FE7D91">
        <w:t xml:space="preserve"> Waiver Request</w:t>
      </w:r>
      <w:r>
        <w:t xml:space="preserve"> 1-2.</w:t>
      </w:r>
    </w:p>
  </w:footnote>
  <w:footnote w:id="9">
    <w:p w14:paraId="5F5065DE" w14:textId="77777777" w:rsidR="00E708EC" w:rsidRDefault="000F62B6" w:rsidP="00E708EC">
      <w:pPr>
        <w:pStyle w:val="FootnoteText"/>
      </w:pPr>
      <w:r>
        <w:rPr>
          <w:rStyle w:val="FootnoteReference"/>
        </w:rPr>
        <w:footnoteRef/>
      </w:r>
      <w:r>
        <w:t xml:space="preserve"> </w:t>
      </w:r>
      <w:r w:rsidRPr="001E12E6">
        <w:rPr>
          <w:i/>
          <w:iCs/>
        </w:rPr>
        <w:t>Id</w:t>
      </w:r>
      <w:r>
        <w:rPr>
          <w:i/>
          <w:iCs/>
        </w:rPr>
        <w:t xml:space="preserve"> </w:t>
      </w:r>
      <w:r w:rsidRPr="00FA6574">
        <w:t>at 5</w:t>
      </w:r>
      <w:r>
        <w:t>.</w:t>
      </w:r>
    </w:p>
  </w:footnote>
  <w:footnote w:id="10">
    <w:p w14:paraId="2A60D0FD" w14:textId="77777777" w:rsidR="00E708EC" w:rsidRDefault="000F62B6" w:rsidP="00E708EC">
      <w:pPr>
        <w:pStyle w:val="FootnoteText"/>
      </w:pPr>
      <w:r>
        <w:rPr>
          <w:rStyle w:val="FootnoteReference"/>
        </w:rPr>
        <w:footnoteRef/>
      </w:r>
      <w:r>
        <w:t xml:space="preserve"> </w:t>
      </w:r>
      <w:hyperlink r:id="rId2" w:tgtFrame="_top" w:history="1">
        <w:r w:rsidR="00E708EC">
          <w:t>47 CFR § 1.3</w:t>
        </w:r>
      </w:hyperlink>
      <w:r>
        <w:t xml:space="preserve">.  </w:t>
      </w:r>
      <w:r>
        <w:rPr>
          <w:i/>
          <w:iCs/>
        </w:rPr>
        <w:t>See also</w:t>
      </w:r>
      <w:r>
        <w:rPr>
          <w:iCs/>
        </w:rPr>
        <w:t xml:space="preserve"> </w:t>
      </w:r>
      <w:hyperlink r:id="rId3" w:tgtFrame="_top" w:history="1">
        <w:r w:rsidR="00E708EC">
          <w:rPr>
            <w:i/>
            <w:iCs/>
          </w:rPr>
          <w:t>ICO Global Communications (Holdings) Limited v. FCC</w:t>
        </w:r>
        <w:r w:rsidR="00E708EC">
          <w:t>, 428 F.3d 264 (D.C. Cir. 2005)</w:t>
        </w:r>
      </w:hyperlink>
      <w:r>
        <w:t xml:space="preserve">; </w:t>
      </w:r>
      <w:hyperlink r:id="rId4" w:tgtFrame="_top" w:history="1">
        <w:r w:rsidR="00E708EC">
          <w:rPr>
            <w:i/>
            <w:iCs/>
          </w:rPr>
          <w:t>Northeast Cellular Telephone Co. v. FCC</w:t>
        </w:r>
        <w:r w:rsidR="00E708EC">
          <w:t>, 897 F.2d 1164 (D.C. Cir. 1990)</w:t>
        </w:r>
      </w:hyperlink>
      <w:r>
        <w:t xml:space="preserve">; </w:t>
      </w:r>
      <w:hyperlink r:id="rId5" w:tgtFrame="_top" w:history="1">
        <w:r w:rsidR="00E708EC">
          <w:rPr>
            <w:i/>
            <w:iCs/>
          </w:rPr>
          <w:t>WAIT Radio v. FCC</w:t>
        </w:r>
        <w:r w:rsidR="00E708EC">
          <w:t>, 418 F.2d 1153 (D.C. Cir. 1969)</w:t>
        </w:r>
      </w:hyperlink>
      <w:r>
        <w:t>.</w:t>
      </w:r>
    </w:p>
  </w:footnote>
  <w:footnote w:id="11">
    <w:p w14:paraId="5F3E3D7E" w14:textId="77777777" w:rsidR="00E708EC" w:rsidRDefault="000F62B6" w:rsidP="00E708EC">
      <w:pPr>
        <w:pStyle w:val="FootnoteText"/>
      </w:pPr>
      <w:r>
        <w:rPr>
          <w:rStyle w:val="FootnoteReference"/>
        </w:rPr>
        <w:footnoteRef/>
      </w:r>
      <w:r>
        <w:t xml:space="preserve"> </w:t>
      </w:r>
      <w:r>
        <w:rPr>
          <w:i/>
        </w:rPr>
        <w:t>Northeast Cellular</w:t>
      </w:r>
      <w:r>
        <w:t xml:space="preserve">, 897 F.2d at 1166; </w:t>
      </w:r>
      <w:r>
        <w:rPr>
          <w:i/>
        </w:rPr>
        <w:t>see also</w:t>
      </w:r>
      <w:r>
        <w:t xml:space="preserve"> </w:t>
      </w:r>
      <w:hyperlink r:id="rId6" w:tgtFrame="_top" w:history="1">
        <w:r w:rsidR="00E708EC">
          <w:rPr>
            <w:i/>
          </w:rPr>
          <w:t>ICO Global Communications</w:t>
        </w:r>
        <w:r w:rsidR="00E708EC">
          <w:t>, 428 F.3d at 269</w:t>
        </w:r>
      </w:hyperlink>
      <w:r>
        <w:t xml:space="preserve"> (quoting </w:t>
      </w:r>
      <w:r>
        <w:rPr>
          <w:i/>
        </w:rPr>
        <w:t>Northeast Cellular</w:t>
      </w:r>
      <w:r>
        <w:t xml:space="preserve">); </w:t>
      </w:r>
      <w:hyperlink r:id="rId7" w:tgtFrame="_top" w:history="1">
        <w:r w:rsidR="00E708EC">
          <w:rPr>
            <w:i/>
          </w:rPr>
          <w:t>WAIT Radio</w:t>
        </w:r>
        <w:r w:rsidR="00E708EC">
          <w:t>, 418 F.2d at 1157-59</w:t>
        </w:r>
      </w:hyperlink>
      <w:r>
        <w:t>.</w:t>
      </w:r>
    </w:p>
  </w:footnote>
  <w:footnote w:id="12">
    <w:p w14:paraId="71CA04D4" w14:textId="77777777" w:rsidR="00E708EC" w:rsidRDefault="000F62B6" w:rsidP="00E708EC">
      <w:pPr>
        <w:pStyle w:val="FootnoteText"/>
      </w:pPr>
      <w:r>
        <w:rPr>
          <w:rStyle w:val="FootnoteReference"/>
        </w:rPr>
        <w:footnoteRef/>
      </w:r>
      <w:r>
        <w:t xml:space="preserve"> </w:t>
      </w:r>
      <w:r w:rsidRPr="00865BAF">
        <w:rPr>
          <w:i/>
        </w:rPr>
        <w:t>See, e.g.</w:t>
      </w:r>
      <w:r w:rsidRPr="00865BAF">
        <w:t xml:space="preserve">, </w:t>
      </w:r>
      <w:hyperlink r:id="rId8" w:tgtFrame="_top" w:history="1">
        <w:r w:rsidR="00E708EC" w:rsidRPr="00865BAF">
          <w:rPr>
            <w:i/>
          </w:rPr>
          <w:t>WAIT Radio</w:t>
        </w:r>
        <w:r w:rsidR="00E708EC" w:rsidRPr="00865BAF">
          <w:t>, 418 F.2d at 1157</w:t>
        </w:r>
      </w:hyperlink>
      <w:r w:rsidRPr="00865BAF">
        <w:t xml:space="preserve"> (stating that even though the overall objectives of a general rule have been adjudged to be in the public interest, it is possible that application of the rule to a specific case may not serve the public interest if an applicant's proposal does not undermine the public interest policy served by the rule); </w:t>
      </w:r>
      <w:r w:rsidRPr="00865BAF">
        <w:rPr>
          <w:i/>
        </w:rPr>
        <w:t>Northeast Cellular</w:t>
      </w:r>
      <w:r w:rsidRPr="00865BAF">
        <w:t>, 897 F.2d at 1166 (stating that in granting a waiver, an agency must explain why deviation from the general rule better serves the public interest than would strict adherence to the rul</w:t>
      </w:r>
      <w:r w:rsidRPr="00865BAF">
        <w:t>e).</w:t>
      </w:r>
    </w:p>
  </w:footnote>
  <w:footnote w:id="13">
    <w:p w14:paraId="6E283518" w14:textId="77777777" w:rsidR="00E708EC" w:rsidRDefault="000F62B6" w:rsidP="00E708EC">
      <w:pPr>
        <w:pStyle w:val="FootnoteText"/>
      </w:pPr>
      <w:r>
        <w:rPr>
          <w:rStyle w:val="FootnoteReference"/>
        </w:rPr>
        <w:footnoteRef/>
      </w:r>
      <w:r>
        <w:t xml:space="preserve"> Sercomm Waiver Request at 8-10.</w:t>
      </w:r>
    </w:p>
  </w:footnote>
  <w:footnote w:id="14">
    <w:p w14:paraId="1789D222" w14:textId="77777777" w:rsidR="00E708EC" w:rsidRPr="00023AAB" w:rsidRDefault="000F62B6" w:rsidP="00E708EC">
      <w:pPr>
        <w:pStyle w:val="FootnoteText"/>
      </w:pPr>
      <w:r>
        <w:rPr>
          <w:rStyle w:val="FootnoteReference"/>
        </w:rPr>
        <w:footnoteRef/>
      </w:r>
      <w:r>
        <w:t xml:space="preserve"> Sercomm Waiver Request at 5,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3493" w14:textId="1E2F57FD" w:rsidR="00D25FB5" w:rsidRDefault="000F62B6" w:rsidP="00810B6F">
    <w:pPr>
      <w:pStyle w:val="Header"/>
      <w:rPr>
        <w:b w:val="0"/>
      </w:rPr>
    </w:pPr>
    <w:r>
      <w:tab/>
      <w:t>Federal Communications Commission</w:t>
    </w:r>
    <w:r>
      <w:tab/>
    </w:r>
    <w:r w:rsidR="00E708EC">
      <w:t>DA 26-572</w:t>
    </w:r>
  </w:p>
  <w:p w14:paraId="3E31DA26" w14:textId="371DF2CA" w:rsidR="00D25FB5" w:rsidRDefault="000C5304">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5A3B0D32" wp14:editId="1FDE8841">
              <wp:simplePos x="0" y="0"/>
              <wp:positionH relativeFrom="margin">
                <wp:posOffset>0</wp:posOffset>
              </wp:positionH>
              <wp:positionV relativeFrom="paragraph">
                <wp:posOffset>0</wp:posOffset>
              </wp:positionV>
              <wp:extent cx="5943600" cy="12065"/>
              <wp:effectExtent l="0" t="0" r="0" b="0"/>
              <wp:wrapNone/>
              <wp:docPr id="2042157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BC937"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p>
  <w:p w14:paraId="198AA91E" w14:textId="77777777" w:rsidR="00D25FB5" w:rsidRDefault="00D25FB5">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7E85" w14:textId="650B6568" w:rsidR="00D25FB5" w:rsidRDefault="000C5304" w:rsidP="00810B6F">
    <w:pPr>
      <w:pStyle w:val="Header"/>
      <w:rPr>
        <w:b w:val="0"/>
      </w:rPr>
    </w:pPr>
    <w:r>
      <w:rPr>
        <w:noProof/>
      </w:rPr>
      <mc:AlternateContent>
        <mc:Choice Requires="wps">
          <w:drawing>
            <wp:anchor distT="0" distB="0" distL="114300" distR="114300" simplePos="0" relativeHeight="251659264" behindDoc="1" locked="0" layoutInCell="0" allowOverlap="1" wp14:anchorId="64379087" wp14:editId="544E9087">
              <wp:simplePos x="0" y="0"/>
              <wp:positionH relativeFrom="margin">
                <wp:posOffset>7620</wp:posOffset>
              </wp:positionH>
              <wp:positionV relativeFrom="paragraph">
                <wp:posOffset>160655</wp:posOffset>
              </wp:positionV>
              <wp:extent cx="5943600" cy="12065"/>
              <wp:effectExtent l="0" t="0" r="1905" b="0"/>
              <wp:wrapNone/>
              <wp:docPr id="6510463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AB49B"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" o:allowincell="f" fillcolor="black" stroked="f" strokeweight=".05pt">
              <w10:wrap anchorx="margin"/>
            </v:rect>
          </w:pict>
        </mc:Fallback>
      </mc:AlternateContent>
    </w:r>
    <w:r w:rsidR="000F62B6">
      <w:tab/>
    </w:r>
    <w:r w:rsidR="000F62B6">
      <w:t>Federal Communications Commission</w:t>
    </w:r>
    <w:r w:rsidR="000F62B6">
      <w:tab/>
    </w:r>
    <w:r w:rsidR="00E708EC">
      <w:rPr>
        <w:spacing w:val="-2"/>
      </w:rPr>
      <w:t>DA 26-572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0E4A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21E13E23"/>
    <w:multiLevelType w:val="hybridMultilevel"/>
    <w:tmpl w:val="FFFFFFFF"/>
    <w:lvl w:ilvl="0" w:tplc="94A626E8">
      <w:start w:val="1"/>
      <w:numFmt w:val="decimal"/>
      <w:pStyle w:val="Paranum"/>
      <w:lvlText w:val="%1."/>
      <w:lvlJc w:val="left"/>
      <w:pPr>
        <w:ind w:left="1170" w:hanging="360"/>
      </w:pPr>
    </w:lvl>
    <w:lvl w:ilvl="1" w:tplc="FD5413A4">
      <w:start w:val="1"/>
      <w:numFmt w:val="lowerLetter"/>
      <w:lvlText w:val="%2."/>
      <w:lvlJc w:val="left"/>
      <w:pPr>
        <w:ind w:left="1440" w:hanging="360"/>
      </w:pPr>
    </w:lvl>
    <w:lvl w:ilvl="2" w:tplc="EE3C135E">
      <w:start w:val="1"/>
      <w:numFmt w:val="lowerRoman"/>
      <w:lvlText w:val="%3."/>
      <w:lvlJc w:val="right"/>
      <w:pPr>
        <w:ind w:left="2160" w:hanging="180"/>
      </w:pPr>
    </w:lvl>
    <w:lvl w:ilvl="3" w:tplc="3CB20252">
      <w:start w:val="1"/>
      <w:numFmt w:val="decimal"/>
      <w:lvlText w:val="%4."/>
      <w:lvlJc w:val="left"/>
      <w:pPr>
        <w:ind w:left="2880" w:hanging="360"/>
      </w:pPr>
    </w:lvl>
    <w:lvl w:ilvl="4" w:tplc="609E2AD0">
      <w:start w:val="1"/>
      <w:numFmt w:val="lowerLetter"/>
      <w:lvlText w:val="%5."/>
      <w:lvlJc w:val="left"/>
      <w:pPr>
        <w:ind w:left="3600" w:hanging="360"/>
      </w:pPr>
    </w:lvl>
    <w:lvl w:ilvl="5" w:tplc="DF7E9784">
      <w:start w:val="1"/>
      <w:numFmt w:val="lowerRoman"/>
      <w:lvlText w:val="%6."/>
      <w:lvlJc w:val="right"/>
      <w:pPr>
        <w:ind w:left="4320" w:hanging="180"/>
      </w:pPr>
    </w:lvl>
    <w:lvl w:ilvl="6" w:tplc="483CBD56">
      <w:start w:val="1"/>
      <w:numFmt w:val="decimal"/>
      <w:lvlText w:val="%7."/>
      <w:lvlJc w:val="left"/>
      <w:pPr>
        <w:ind w:left="5040" w:hanging="360"/>
      </w:pPr>
    </w:lvl>
    <w:lvl w:ilvl="7" w:tplc="FE4C4190">
      <w:start w:val="1"/>
      <w:numFmt w:val="lowerLetter"/>
      <w:lvlText w:val="%8."/>
      <w:lvlJc w:val="left"/>
      <w:pPr>
        <w:ind w:left="5760" w:hanging="360"/>
      </w:pPr>
    </w:lvl>
    <w:lvl w:ilvl="8" w:tplc="AA6C91E6">
      <w:start w:val="1"/>
      <w:numFmt w:val="lowerRoman"/>
      <w:lvlText w:val="%9."/>
      <w:lvlJc w:val="right"/>
      <w:pPr>
        <w:ind w:left="6480" w:hanging="180"/>
      </w:pPr>
    </w:lvl>
  </w:abstractNum>
  <w:abstractNum w:abstractNumId="3"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5"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38EB5D22"/>
    <w:multiLevelType w:val="hybridMultilevel"/>
    <w:tmpl w:val="6C069D4C"/>
    <w:lvl w:ilvl="0" w:tplc="6848138A">
      <w:start w:val="1"/>
      <w:numFmt w:val="bullet"/>
      <w:lvlText w:val=""/>
      <w:lvlJc w:val="left"/>
      <w:pPr>
        <w:ind w:left="1080" w:hanging="360"/>
      </w:pPr>
      <w:rPr>
        <w:rFonts w:ascii="Symbol" w:hAnsi="Symbol" w:hint="default"/>
      </w:rPr>
    </w:lvl>
    <w:lvl w:ilvl="1" w:tplc="E32EF256">
      <w:start w:val="1"/>
      <w:numFmt w:val="bullet"/>
      <w:lvlText w:val="o"/>
      <w:lvlJc w:val="left"/>
      <w:pPr>
        <w:ind w:left="1800" w:hanging="360"/>
      </w:pPr>
      <w:rPr>
        <w:rFonts w:ascii="Courier New" w:hAnsi="Courier New" w:cs="Courier New" w:hint="default"/>
      </w:rPr>
    </w:lvl>
    <w:lvl w:ilvl="2" w:tplc="64720988" w:tentative="1">
      <w:start w:val="1"/>
      <w:numFmt w:val="bullet"/>
      <w:lvlText w:val=""/>
      <w:lvlJc w:val="left"/>
      <w:pPr>
        <w:ind w:left="2520" w:hanging="360"/>
      </w:pPr>
      <w:rPr>
        <w:rFonts w:ascii="Wingdings" w:hAnsi="Wingdings" w:hint="default"/>
      </w:rPr>
    </w:lvl>
    <w:lvl w:ilvl="3" w:tplc="F602433C" w:tentative="1">
      <w:start w:val="1"/>
      <w:numFmt w:val="bullet"/>
      <w:lvlText w:val=""/>
      <w:lvlJc w:val="left"/>
      <w:pPr>
        <w:ind w:left="3240" w:hanging="360"/>
      </w:pPr>
      <w:rPr>
        <w:rFonts w:ascii="Symbol" w:hAnsi="Symbol" w:hint="default"/>
      </w:rPr>
    </w:lvl>
    <w:lvl w:ilvl="4" w:tplc="A7B2E07C" w:tentative="1">
      <w:start w:val="1"/>
      <w:numFmt w:val="bullet"/>
      <w:lvlText w:val="o"/>
      <w:lvlJc w:val="left"/>
      <w:pPr>
        <w:ind w:left="3960" w:hanging="360"/>
      </w:pPr>
      <w:rPr>
        <w:rFonts w:ascii="Courier New" w:hAnsi="Courier New" w:cs="Courier New" w:hint="default"/>
      </w:rPr>
    </w:lvl>
    <w:lvl w:ilvl="5" w:tplc="76948AF0" w:tentative="1">
      <w:start w:val="1"/>
      <w:numFmt w:val="bullet"/>
      <w:lvlText w:val=""/>
      <w:lvlJc w:val="left"/>
      <w:pPr>
        <w:ind w:left="4680" w:hanging="360"/>
      </w:pPr>
      <w:rPr>
        <w:rFonts w:ascii="Wingdings" w:hAnsi="Wingdings" w:hint="default"/>
      </w:rPr>
    </w:lvl>
    <w:lvl w:ilvl="6" w:tplc="C12C501A" w:tentative="1">
      <w:start w:val="1"/>
      <w:numFmt w:val="bullet"/>
      <w:lvlText w:val=""/>
      <w:lvlJc w:val="left"/>
      <w:pPr>
        <w:ind w:left="5400" w:hanging="360"/>
      </w:pPr>
      <w:rPr>
        <w:rFonts w:ascii="Symbol" w:hAnsi="Symbol" w:hint="default"/>
      </w:rPr>
    </w:lvl>
    <w:lvl w:ilvl="7" w:tplc="5C0220F0" w:tentative="1">
      <w:start w:val="1"/>
      <w:numFmt w:val="bullet"/>
      <w:lvlText w:val="o"/>
      <w:lvlJc w:val="left"/>
      <w:pPr>
        <w:ind w:left="6120" w:hanging="360"/>
      </w:pPr>
      <w:rPr>
        <w:rFonts w:ascii="Courier New" w:hAnsi="Courier New" w:cs="Courier New" w:hint="default"/>
      </w:rPr>
    </w:lvl>
    <w:lvl w:ilvl="8" w:tplc="1AE63934" w:tentative="1">
      <w:start w:val="1"/>
      <w:numFmt w:val="bullet"/>
      <w:lvlText w:val=""/>
      <w:lvlJc w:val="left"/>
      <w:pPr>
        <w:ind w:left="6840" w:hanging="360"/>
      </w:pPr>
      <w:rPr>
        <w:rFonts w:ascii="Wingdings" w:hAnsi="Wingdings" w:hint="default"/>
      </w:rPr>
    </w:lvl>
  </w:abstractNum>
  <w:abstractNum w:abstractNumId="7" w15:restartNumberingAfterBreak="0">
    <w:nsid w:val="3E742BD9"/>
    <w:multiLevelType w:val="hybridMultilevel"/>
    <w:tmpl w:val="E0F2472C"/>
    <w:lvl w:ilvl="0" w:tplc="DB4CA298">
      <w:start w:val="1"/>
      <w:numFmt w:val="decimal"/>
      <w:lvlText w:val="%1."/>
      <w:lvlJc w:val="left"/>
      <w:pPr>
        <w:ind w:left="720" w:hanging="360"/>
      </w:pPr>
      <w:rPr>
        <w:b w:val="0"/>
        <w:bCs w:val="0"/>
      </w:rPr>
    </w:lvl>
    <w:lvl w:ilvl="1" w:tplc="31B8D2A8" w:tentative="1">
      <w:start w:val="1"/>
      <w:numFmt w:val="lowerLetter"/>
      <w:lvlText w:val="%2."/>
      <w:lvlJc w:val="left"/>
      <w:pPr>
        <w:ind w:left="1440" w:hanging="360"/>
      </w:pPr>
    </w:lvl>
    <w:lvl w:ilvl="2" w:tplc="33CA28C6" w:tentative="1">
      <w:start w:val="1"/>
      <w:numFmt w:val="lowerRoman"/>
      <w:lvlText w:val="%3."/>
      <w:lvlJc w:val="right"/>
      <w:pPr>
        <w:ind w:left="2160" w:hanging="180"/>
      </w:pPr>
    </w:lvl>
    <w:lvl w:ilvl="3" w:tplc="7CEAC31C" w:tentative="1">
      <w:start w:val="1"/>
      <w:numFmt w:val="decimal"/>
      <w:lvlText w:val="%4."/>
      <w:lvlJc w:val="left"/>
      <w:pPr>
        <w:ind w:left="2880" w:hanging="360"/>
      </w:pPr>
    </w:lvl>
    <w:lvl w:ilvl="4" w:tplc="81729268" w:tentative="1">
      <w:start w:val="1"/>
      <w:numFmt w:val="lowerLetter"/>
      <w:lvlText w:val="%5."/>
      <w:lvlJc w:val="left"/>
      <w:pPr>
        <w:ind w:left="3600" w:hanging="360"/>
      </w:pPr>
    </w:lvl>
    <w:lvl w:ilvl="5" w:tplc="39A4D34E" w:tentative="1">
      <w:start w:val="1"/>
      <w:numFmt w:val="lowerRoman"/>
      <w:lvlText w:val="%6."/>
      <w:lvlJc w:val="right"/>
      <w:pPr>
        <w:ind w:left="4320" w:hanging="180"/>
      </w:pPr>
    </w:lvl>
    <w:lvl w:ilvl="6" w:tplc="FE942D28" w:tentative="1">
      <w:start w:val="1"/>
      <w:numFmt w:val="decimal"/>
      <w:lvlText w:val="%7."/>
      <w:lvlJc w:val="left"/>
      <w:pPr>
        <w:ind w:left="5040" w:hanging="360"/>
      </w:pPr>
    </w:lvl>
    <w:lvl w:ilvl="7" w:tplc="B7749554" w:tentative="1">
      <w:start w:val="1"/>
      <w:numFmt w:val="lowerLetter"/>
      <w:lvlText w:val="%8."/>
      <w:lvlJc w:val="left"/>
      <w:pPr>
        <w:ind w:left="5760" w:hanging="360"/>
      </w:pPr>
    </w:lvl>
    <w:lvl w:ilvl="8" w:tplc="353CA14C" w:tentative="1">
      <w:start w:val="1"/>
      <w:numFmt w:val="lowerRoman"/>
      <w:lvlText w:val="%9."/>
      <w:lvlJc w:val="right"/>
      <w:pPr>
        <w:ind w:left="6480" w:hanging="180"/>
      </w:pPr>
    </w:lvl>
  </w:abstractNum>
  <w:abstractNum w:abstractNumId="8" w15:restartNumberingAfterBreak="0">
    <w:nsid w:val="404B3E25"/>
    <w:multiLevelType w:val="multilevel"/>
    <w:tmpl w:val="A2587362"/>
    <w:lvl w:ilvl="0">
      <w:start w:val="1"/>
      <w:numFmt w:val="decimal"/>
      <w:pStyle w:val="StyleParaNumItali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2C284F"/>
    <w:multiLevelType w:val="hybridMultilevel"/>
    <w:tmpl w:val="5224BC70"/>
    <w:lvl w:ilvl="0" w:tplc="1F926716">
      <w:start w:val="1"/>
      <w:numFmt w:val="decimal"/>
      <w:lvlText w:val="%1)"/>
      <w:lvlJc w:val="left"/>
      <w:pPr>
        <w:ind w:left="1020" w:hanging="360"/>
      </w:pPr>
    </w:lvl>
    <w:lvl w:ilvl="1" w:tplc="27ECFD5E">
      <w:start w:val="1"/>
      <w:numFmt w:val="decimal"/>
      <w:lvlText w:val="%2)"/>
      <w:lvlJc w:val="left"/>
      <w:pPr>
        <w:ind w:left="1020" w:hanging="360"/>
      </w:pPr>
    </w:lvl>
    <w:lvl w:ilvl="2" w:tplc="AEF21094">
      <w:start w:val="1"/>
      <w:numFmt w:val="decimal"/>
      <w:lvlText w:val="%3)"/>
      <w:lvlJc w:val="left"/>
      <w:pPr>
        <w:ind w:left="1020" w:hanging="360"/>
      </w:pPr>
    </w:lvl>
    <w:lvl w:ilvl="3" w:tplc="59322D66">
      <w:start w:val="1"/>
      <w:numFmt w:val="decimal"/>
      <w:lvlText w:val="%4)"/>
      <w:lvlJc w:val="left"/>
      <w:pPr>
        <w:ind w:left="1020" w:hanging="360"/>
      </w:pPr>
    </w:lvl>
    <w:lvl w:ilvl="4" w:tplc="07ACB2F8">
      <w:start w:val="1"/>
      <w:numFmt w:val="decimal"/>
      <w:lvlText w:val="%5)"/>
      <w:lvlJc w:val="left"/>
      <w:pPr>
        <w:ind w:left="1020" w:hanging="360"/>
      </w:pPr>
    </w:lvl>
    <w:lvl w:ilvl="5" w:tplc="7DE8B488">
      <w:start w:val="1"/>
      <w:numFmt w:val="decimal"/>
      <w:lvlText w:val="%6)"/>
      <w:lvlJc w:val="left"/>
      <w:pPr>
        <w:ind w:left="1020" w:hanging="360"/>
      </w:pPr>
    </w:lvl>
    <w:lvl w:ilvl="6" w:tplc="573C12DE">
      <w:start w:val="1"/>
      <w:numFmt w:val="decimal"/>
      <w:lvlText w:val="%7)"/>
      <w:lvlJc w:val="left"/>
      <w:pPr>
        <w:ind w:left="1020" w:hanging="360"/>
      </w:pPr>
    </w:lvl>
    <w:lvl w:ilvl="7" w:tplc="552260F4">
      <w:start w:val="1"/>
      <w:numFmt w:val="decimal"/>
      <w:lvlText w:val="%8)"/>
      <w:lvlJc w:val="left"/>
      <w:pPr>
        <w:ind w:left="1020" w:hanging="360"/>
      </w:pPr>
    </w:lvl>
    <w:lvl w:ilvl="8" w:tplc="0EF63210">
      <w:start w:val="1"/>
      <w:numFmt w:val="decimal"/>
      <w:lvlText w:val="%9)"/>
      <w:lvlJc w:val="left"/>
      <w:pPr>
        <w:ind w:left="1020" w:hanging="360"/>
      </w:pPr>
    </w:lvl>
  </w:abstractNum>
  <w:abstractNum w:abstractNumId="10"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6C34600"/>
    <w:multiLevelType w:val="hybridMultilevel"/>
    <w:tmpl w:val="01544026"/>
    <w:lvl w:ilvl="0" w:tplc="8B4A3206">
      <w:start w:val="1"/>
      <w:numFmt w:val="upperLetter"/>
      <w:lvlText w:val="%1."/>
      <w:lvlJc w:val="left"/>
      <w:pPr>
        <w:ind w:left="1080" w:hanging="360"/>
      </w:pPr>
      <w:rPr>
        <w:b/>
        <w:bCs/>
      </w:rPr>
    </w:lvl>
    <w:lvl w:ilvl="1" w:tplc="68E47E0A" w:tentative="1">
      <w:start w:val="1"/>
      <w:numFmt w:val="lowerLetter"/>
      <w:lvlText w:val="%2."/>
      <w:lvlJc w:val="left"/>
      <w:pPr>
        <w:ind w:left="1800" w:hanging="360"/>
      </w:pPr>
    </w:lvl>
    <w:lvl w:ilvl="2" w:tplc="AEAC6A20" w:tentative="1">
      <w:start w:val="1"/>
      <w:numFmt w:val="lowerRoman"/>
      <w:lvlText w:val="%3."/>
      <w:lvlJc w:val="right"/>
      <w:pPr>
        <w:ind w:left="2520" w:hanging="180"/>
      </w:pPr>
    </w:lvl>
    <w:lvl w:ilvl="3" w:tplc="BD2E2162" w:tentative="1">
      <w:start w:val="1"/>
      <w:numFmt w:val="decimal"/>
      <w:lvlText w:val="%4."/>
      <w:lvlJc w:val="left"/>
      <w:pPr>
        <w:ind w:left="3240" w:hanging="360"/>
      </w:pPr>
    </w:lvl>
    <w:lvl w:ilvl="4" w:tplc="EF3A46F4" w:tentative="1">
      <w:start w:val="1"/>
      <w:numFmt w:val="lowerLetter"/>
      <w:lvlText w:val="%5."/>
      <w:lvlJc w:val="left"/>
      <w:pPr>
        <w:ind w:left="3960" w:hanging="360"/>
      </w:pPr>
    </w:lvl>
    <w:lvl w:ilvl="5" w:tplc="8552133E" w:tentative="1">
      <w:start w:val="1"/>
      <w:numFmt w:val="lowerRoman"/>
      <w:lvlText w:val="%6."/>
      <w:lvlJc w:val="right"/>
      <w:pPr>
        <w:ind w:left="4680" w:hanging="180"/>
      </w:pPr>
    </w:lvl>
    <w:lvl w:ilvl="6" w:tplc="7750BB64" w:tentative="1">
      <w:start w:val="1"/>
      <w:numFmt w:val="decimal"/>
      <w:lvlText w:val="%7."/>
      <w:lvlJc w:val="left"/>
      <w:pPr>
        <w:ind w:left="5400" w:hanging="360"/>
      </w:pPr>
    </w:lvl>
    <w:lvl w:ilvl="7" w:tplc="60DEAEE8" w:tentative="1">
      <w:start w:val="1"/>
      <w:numFmt w:val="lowerLetter"/>
      <w:lvlText w:val="%8."/>
      <w:lvlJc w:val="left"/>
      <w:pPr>
        <w:ind w:left="6120" w:hanging="360"/>
      </w:pPr>
    </w:lvl>
    <w:lvl w:ilvl="8" w:tplc="87A8D5EC" w:tentative="1">
      <w:start w:val="1"/>
      <w:numFmt w:val="lowerRoman"/>
      <w:lvlText w:val="%9."/>
      <w:lvlJc w:val="right"/>
      <w:pPr>
        <w:ind w:left="6840" w:hanging="180"/>
      </w:pPr>
    </w:lvl>
  </w:abstractNum>
  <w:abstractNum w:abstractNumId="12" w15:restartNumberingAfterBreak="0">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13" w15:restartNumberingAfterBreak="0">
    <w:nsid w:val="63B6130F"/>
    <w:multiLevelType w:val="hybridMultilevel"/>
    <w:tmpl w:val="F5682E1C"/>
    <w:lvl w:ilvl="0" w:tplc="08ECA336">
      <w:start w:val="1"/>
      <w:numFmt w:val="decimal"/>
      <w:lvlText w:val="%1."/>
      <w:lvlJc w:val="left"/>
      <w:pPr>
        <w:tabs>
          <w:tab w:val="num" w:pos="1080"/>
        </w:tabs>
        <w:ind w:left="0" w:firstLine="720"/>
      </w:pPr>
      <w:rPr>
        <w:rFonts w:hint="default"/>
        <w:b w:val="0"/>
      </w:rPr>
    </w:lvl>
    <w:lvl w:ilvl="1" w:tplc="CA48A7CE">
      <w:start w:val="1"/>
      <w:numFmt w:val="upperLetter"/>
      <w:lvlText w:val="%2."/>
      <w:lvlJc w:val="left"/>
      <w:pPr>
        <w:ind w:left="720" w:hanging="360"/>
      </w:pPr>
    </w:lvl>
    <w:lvl w:ilvl="2" w:tplc="FC3C1212" w:tentative="1">
      <w:start w:val="1"/>
      <w:numFmt w:val="lowerRoman"/>
      <w:lvlText w:val="%3."/>
      <w:lvlJc w:val="right"/>
      <w:pPr>
        <w:ind w:left="2160" w:hanging="180"/>
      </w:pPr>
    </w:lvl>
    <w:lvl w:ilvl="3" w:tplc="884EC01A" w:tentative="1">
      <w:start w:val="1"/>
      <w:numFmt w:val="decimal"/>
      <w:lvlText w:val="%4."/>
      <w:lvlJc w:val="left"/>
      <w:pPr>
        <w:ind w:left="2880" w:hanging="360"/>
      </w:pPr>
    </w:lvl>
    <w:lvl w:ilvl="4" w:tplc="44B672AC" w:tentative="1">
      <w:start w:val="1"/>
      <w:numFmt w:val="lowerLetter"/>
      <w:lvlText w:val="%5."/>
      <w:lvlJc w:val="left"/>
      <w:pPr>
        <w:ind w:left="3600" w:hanging="360"/>
      </w:pPr>
    </w:lvl>
    <w:lvl w:ilvl="5" w:tplc="9FBC6960" w:tentative="1">
      <w:start w:val="1"/>
      <w:numFmt w:val="lowerRoman"/>
      <w:lvlText w:val="%6."/>
      <w:lvlJc w:val="right"/>
      <w:pPr>
        <w:ind w:left="4320" w:hanging="180"/>
      </w:pPr>
    </w:lvl>
    <w:lvl w:ilvl="6" w:tplc="DECCEA0A" w:tentative="1">
      <w:start w:val="1"/>
      <w:numFmt w:val="decimal"/>
      <w:lvlText w:val="%7."/>
      <w:lvlJc w:val="left"/>
      <w:pPr>
        <w:ind w:left="5040" w:hanging="360"/>
      </w:pPr>
    </w:lvl>
    <w:lvl w:ilvl="7" w:tplc="37EA94DA" w:tentative="1">
      <w:start w:val="1"/>
      <w:numFmt w:val="lowerLetter"/>
      <w:lvlText w:val="%8."/>
      <w:lvlJc w:val="left"/>
      <w:pPr>
        <w:ind w:left="5760" w:hanging="360"/>
      </w:pPr>
    </w:lvl>
    <w:lvl w:ilvl="8" w:tplc="E63E65BA" w:tentative="1">
      <w:start w:val="1"/>
      <w:numFmt w:val="lowerRoman"/>
      <w:lvlText w:val="%9."/>
      <w:lvlJc w:val="right"/>
      <w:pPr>
        <w:ind w:left="6480" w:hanging="180"/>
      </w:pPr>
    </w:lvl>
  </w:abstractNum>
  <w:abstractNum w:abstractNumId="14" w15:restartNumberingAfterBreak="0">
    <w:nsid w:val="72E351FF"/>
    <w:multiLevelType w:val="hybridMultilevel"/>
    <w:tmpl w:val="82B4932A"/>
    <w:lvl w:ilvl="0" w:tplc="72A48B52">
      <w:start w:val="1"/>
      <w:numFmt w:val="decimal"/>
      <w:lvlText w:val="%1)"/>
      <w:lvlJc w:val="left"/>
      <w:pPr>
        <w:ind w:left="1080" w:hanging="360"/>
      </w:pPr>
    </w:lvl>
    <w:lvl w:ilvl="1" w:tplc="3E2688B4">
      <w:start w:val="1"/>
      <w:numFmt w:val="decimal"/>
      <w:lvlText w:val="%2."/>
      <w:lvlJc w:val="left"/>
      <w:pPr>
        <w:ind w:left="1800" w:hanging="360"/>
      </w:pPr>
    </w:lvl>
    <w:lvl w:ilvl="2" w:tplc="EDDCC424">
      <w:start w:val="1"/>
      <w:numFmt w:val="decimal"/>
      <w:lvlText w:val="%3."/>
      <w:lvlJc w:val="left"/>
      <w:pPr>
        <w:ind w:left="1800" w:hanging="360"/>
      </w:pPr>
    </w:lvl>
    <w:lvl w:ilvl="3" w:tplc="28F0E76E">
      <w:start w:val="1"/>
      <w:numFmt w:val="decimal"/>
      <w:lvlText w:val="%4."/>
      <w:lvlJc w:val="left"/>
      <w:pPr>
        <w:ind w:left="1800" w:hanging="360"/>
      </w:pPr>
    </w:lvl>
    <w:lvl w:ilvl="4" w:tplc="1208FFF0">
      <w:start w:val="1"/>
      <w:numFmt w:val="decimal"/>
      <w:lvlText w:val="%5."/>
      <w:lvlJc w:val="left"/>
      <w:pPr>
        <w:ind w:left="1800" w:hanging="360"/>
      </w:pPr>
    </w:lvl>
    <w:lvl w:ilvl="5" w:tplc="41165CB4">
      <w:start w:val="1"/>
      <w:numFmt w:val="decimal"/>
      <w:lvlText w:val="%6."/>
      <w:lvlJc w:val="left"/>
      <w:pPr>
        <w:ind w:left="1800" w:hanging="360"/>
      </w:pPr>
    </w:lvl>
    <w:lvl w:ilvl="6" w:tplc="F620C932">
      <w:start w:val="1"/>
      <w:numFmt w:val="decimal"/>
      <w:lvlText w:val="%7."/>
      <w:lvlJc w:val="left"/>
      <w:pPr>
        <w:ind w:left="1800" w:hanging="360"/>
      </w:pPr>
    </w:lvl>
    <w:lvl w:ilvl="7" w:tplc="3384B8EE">
      <w:start w:val="1"/>
      <w:numFmt w:val="decimal"/>
      <w:lvlText w:val="%8."/>
      <w:lvlJc w:val="left"/>
      <w:pPr>
        <w:ind w:left="1800" w:hanging="360"/>
      </w:pPr>
    </w:lvl>
    <w:lvl w:ilvl="8" w:tplc="1DEAFE0E">
      <w:start w:val="1"/>
      <w:numFmt w:val="decimal"/>
      <w:lvlText w:val="%9."/>
      <w:lvlJc w:val="left"/>
      <w:pPr>
        <w:ind w:left="1800" w:hanging="360"/>
      </w:pPr>
    </w:lvl>
  </w:abstractNum>
  <w:abstractNum w:abstractNumId="15" w15:restartNumberingAfterBreak="0">
    <w:nsid w:val="748322E7"/>
    <w:multiLevelType w:val="hybridMultilevel"/>
    <w:tmpl w:val="01544026"/>
    <w:lvl w:ilvl="0" w:tplc="237CB548">
      <w:start w:val="1"/>
      <w:numFmt w:val="upperLetter"/>
      <w:lvlText w:val="%1."/>
      <w:lvlJc w:val="left"/>
      <w:pPr>
        <w:ind w:left="720" w:hanging="360"/>
      </w:pPr>
      <w:rPr>
        <w:b/>
        <w:bCs/>
      </w:rPr>
    </w:lvl>
    <w:lvl w:ilvl="1" w:tplc="3F2E1BCC" w:tentative="1">
      <w:start w:val="1"/>
      <w:numFmt w:val="lowerLetter"/>
      <w:lvlText w:val="%2."/>
      <w:lvlJc w:val="left"/>
      <w:pPr>
        <w:ind w:left="1440" w:hanging="360"/>
      </w:pPr>
    </w:lvl>
    <w:lvl w:ilvl="2" w:tplc="A8263204" w:tentative="1">
      <w:start w:val="1"/>
      <w:numFmt w:val="lowerRoman"/>
      <w:lvlText w:val="%3."/>
      <w:lvlJc w:val="right"/>
      <w:pPr>
        <w:ind w:left="2160" w:hanging="180"/>
      </w:pPr>
    </w:lvl>
    <w:lvl w:ilvl="3" w:tplc="366066B6" w:tentative="1">
      <w:start w:val="1"/>
      <w:numFmt w:val="decimal"/>
      <w:lvlText w:val="%4."/>
      <w:lvlJc w:val="left"/>
      <w:pPr>
        <w:ind w:left="2880" w:hanging="360"/>
      </w:pPr>
    </w:lvl>
    <w:lvl w:ilvl="4" w:tplc="DA080D02" w:tentative="1">
      <w:start w:val="1"/>
      <w:numFmt w:val="lowerLetter"/>
      <w:lvlText w:val="%5."/>
      <w:lvlJc w:val="left"/>
      <w:pPr>
        <w:ind w:left="3600" w:hanging="360"/>
      </w:pPr>
    </w:lvl>
    <w:lvl w:ilvl="5" w:tplc="5AEA1AE0" w:tentative="1">
      <w:start w:val="1"/>
      <w:numFmt w:val="lowerRoman"/>
      <w:lvlText w:val="%6."/>
      <w:lvlJc w:val="right"/>
      <w:pPr>
        <w:ind w:left="4320" w:hanging="180"/>
      </w:pPr>
    </w:lvl>
    <w:lvl w:ilvl="6" w:tplc="7C0E93D4" w:tentative="1">
      <w:start w:val="1"/>
      <w:numFmt w:val="decimal"/>
      <w:lvlText w:val="%7."/>
      <w:lvlJc w:val="left"/>
      <w:pPr>
        <w:ind w:left="5040" w:hanging="360"/>
      </w:pPr>
    </w:lvl>
    <w:lvl w:ilvl="7" w:tplc="A7AA911E" w:tentative="1">
      <w:start w:val="1"/>
      <w:numFmt w:val="lowerLetter"/>
      <w:lvlText w:val="%8."/>
      <w:lvlJc w:val="left"/>
      <w:pPr>
        <w:ind w:left="5760" w:hanging="360"/>
      </w:pPr>
    </w:lvl>
    <w:lvl w:ilvl="8" w:tplc="A1D2793A" w:tentative="1">
      <w:start w:val="1"/>
      <w:numFmt w:val="lowerRoman"/>
      <w:lvlText w:val="%9."/>
      <w:lvlJc w:val="right"/>
      <w:pPr>
        <w:ind w:left="6480" w:hanging="180"/>
      </w:pPr>
    </w:lvl>
  </w:abstractNum>
  <w:num w:numId="1" w16cid:durableId="630020733">
    <w:abstractNumId w:val="3"/>
  </w:num>
  <w:num w:numId="2" w16cid:durableId="808518070">
    <w:abstractNumId w:val="12"/>
  </w:num>
  <w:num w:numId="3" w16cid:durableId="1445883754">
    <w:abstractNumId w:val="5"/>
  </w:num>
  <w:num w:numId="4" w16cid:durableId="1953635050">
    <w:abstractNumId w:val="10"/>
  </w:num>
  <w:num w:numId="5" w16cid:durableId="729427912">
    <w:abstractNumId w:val="4"/>
  </w:num>
  <w:num w:numId="6" w16cid:durableId="1148670577">
    <w:abstractNumId w:val="1"/>
  </w:num>
  <w:num w:numId="7" w16cid:durableId="1831604237">
    <w:abstractNumId w:val="2"/>
  </w:num>
  <w:num w:numId="8" w16cid:durableId="1968855020">
    <w:abstractNumId w:val="8"/>
  </w:num>
  <w:num w:numId="9" w16cid:durableId="1401976535">
    <w:abstractNumId w:val="0"/>
  </w:num>
  <w:num w:numId="10" w16cid:durableId="1678076246">
    <w:abstractNumId w:val="6"/>
  </w:num>
  <w:num w:numId="11" w16cid:durableId="1266228451">
    <w:abstractNumId w:val="12"/>
    <w:lvlOverride w:ilvl="0">
      <w:startOverride w:val="1"/>
    </w:lvlOverride>
  </w:num>
  <w:num w:numId="12" w16cid:durableId="1859394543">
    <w:abstractNumId w:val="12"/>
    <w:lvlOverride w:ilvl="0">
      <w:startOverride w:val="1"/>
    </w:lvlOverride>
  </w:num>
  <w:num w:numId="13" w16cid:durableId="1371799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664701">
    <w:abstractNumId w:val="13"/>
  </w:num>
  <w:num w:numId="15" w16cid:durableId="1207913522">
    <w:abstractNumId w:val="15"/>
  </w:num>
  <w:num w:numId="16" w16cid:durableId="1631210094">
    <w:abstractNumId w:val="7"/>
  </w:num>
  <w:num w:numId="17" w16cid:durableId="291600055">
    <w:abstractNumId w:val="11"/>
  </w:num>
  <w:num w:numId="18" w16cid:durableId="630750527">
    <w:abstractNumId w:val="14"/>
  </w:num>
  <w:num w:numId="19" w16cid:durableId="877086707">
    <w:abstractNumId w:val="9"/>
  </w:num>
  <w:num w:numId="20" w16cid:durableId="39597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0032752">
    <w:abstractNumId w:val="12"/>
    <w:lvlOverride w:ilvl="0">
      <w:startOverride w:val="1"/>
    </w:lvlOverride>
  </w:num>
  <w:num w:numId="22" w16cid:durableId="1459255824">
    <w:abstractNumId w:val="12"/>
    <w:lvlOverride w:ilvl="0">
      <w:startOverride w:val="1"/>
    </w:lvlOverride>
  </w:num>
  <w:num w:numId="23" w16cid:durableId="17972024">
    <w:abstractNumId w:val="12"/>
    <w:lvlOverride w:ilvl="0">
      <w:startOverride w:val="1"/>
    </w:lvlOverride>
  </w:num>
  <w:num w:numId="24" w16cid:durableId="6915459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C"/>
    <w:rsid w:val="00023AAB"/>
    <w:rsid w:val="00036039"/>
    <w:rsid w:val="00037F90"/>
    <w:rsid w:val="000875BF"/>
    <w:rsid w:val="00096D8C"/>
    <w:rsid w:val="000C0B65"/>
    <w:rsid w:val="000C5304"/>
    <w:rsid w:val="000E05FE"/>
    <w:rsid w:val="000E3D42"/>
    <w:rsid w:val="000E6B57"/>
    <w:rsid w:val="000F62B6"/>
    <w:rsid w:val="00122BD5"/>
    <w:rsid w:val="001311AA"/>
    <w:rsid w:val="00133F79"/>
    <w:rsid w:val="00183DD1"/>
    <w:rsid w:val="00192C75"/>
    <w:rsid w:val="00194A66"/>
    <w:rsid w:val="001D6BCF"/>
    <w:rsid w:val="001E01CA"/>
    <w:rsid w:val="001E12E6"/>
    <w:rsid w:val="001F18EB"/>
    <w:rsid w:val="00220FD4"/>
    <w:rsid w:val="00275CF5"/>
    <w:rsid w:val="0028301F"/>
    <w:rsid w:val="00285017"/>
    <w:rsid w:val="002A2D2E"/>
    <w:rsid w:val="002A3297"/>
    <w:rsid w:val="002C00E8"/>
    <w:rsid w:val="00343749"/>
    <w:rsid w:val="003660ED"/>
    <w:rsid w:val="003B0550"/>
    <w:rsid w:val="003B694F"/>
    <w:rsid w:val="003B7355"/>
    <w:rsid w:val="003F171C"/>
    <w:rsid w:val="00412FC5"/>
    <w:rsid w:val="00422276"/>
    <w:rsid w:val="004242F1"/>
    <w:rsid w:val="00436519"/>
    <w:rsid w:val="00445A00"/>
    <w:rsid w:val="00451B0F"/>
    <w:rsid w:val="00455445"/>
    <w:rsid w:val="004B3FA6"/>
    <w:rsid w:val="004C2EE3"/>
    <w:rsid w:val="004E4A22"/>
    <w:rsid w:val="00511968"/>
    <w:rsid w:val="0051505E"/>
    <w:rsid w:val="0055614C"/>
    <w:rsid w:val="00566D06"/>
    <w:rsid w:val="00586EA3"/>
    <w:rsid w:val="00596286"/>
    <w:rsid w:val="005E14C2"/>
    <w:rsid w:val="00607BA5"/>
    <w:rsid w:val="0061180A"/>
    <w:rsid w:val="006243D6"/>
    <w:rsid w:val="00626EB6"/>
    <w:rsid w:val="00645AE9"/>
    <w:rsid w:val="00655D03"/>
    <w:rsid w:val="00683388"/>
    <w:rsid w:val="00683F84"/>
    <w:rsid w:val="006A6A81"/>
    <w:rsid w:val="006F7393"/>
    <w:rsid w:val="0070224F"/>
    <w:rsid w:val="007115F7"/>
    <w:rsid w:val="0071287F"/>
    <w:rsid w:val="0073611B"/>
    <w:rsid w:val="00785689"/>
    <w:rsid w:val="0079754B"/>
    <w:rsid w:val="007A1E6D"/>
    <w:rsid w:val="007B0EB2"/>
    <w:rsid w:val="00810B6F"/>
    <w:rsid w:val="00822CE0"/>
    <w:rsid w:val="00841AB1"/>
    <w:rsid w:val="00865BAF"/>
    <w:rsid w:val="00875253"/>
    <w:rsid w:val="00885DD3"/>
    <w:rsid w:val="008C68F1"/>
    <w:rsid w:val="008E5185"/>
    <w:rsid w:val="00905481"/>
    <w:rsid w:val="00921803"/>
    <w:rsid w:val="00926503"/>
    <w:rsid w:val="009726D8"/>
    <w:rsid w:val="009D7308"/>
    <w:rsid w:val="009F76DB"/>
    <w:rsid w:val="00A10A9A"/>
    <w:rsid w:val="00A31D0C"/>
    <w:rsid w:val="00A32C3B"/>
    <w:rsid w:val="00A45F4F"/>
    <w:rsid w:val="00A600A9"/>
    <w:rsid w:val="00A91903"/>
    <w:rsid w:val="00A92D6A"/>
    <w:rsid w:val="00AA55B7"/>
    <w:rsid w:val="00AA5B9E"/>
    <w:rsid w:val="00AB2407"/>
    <w:rsid w:val="00AB53DF"/>
    <w:rsid w:val="00AC78F6"/>
    <w:rsid w:val="00B07E5C"/>
    <w:rsid w:val="00B654E2"/>
    <w:rsid w:val="00B811F7"/>
    <w:rsid w:val="00BA5DC6"/>
    <w:rsid w:val="00BA6196"/>
    <w:rsid w:val="00BA785B"/>
    <w:rsid w:val="00BC6D8C"/>
    <w:rsid w:val="00C01C0A"/>
    <w:rsid w:val="00C30353"/>
    <w:rsid w:val="00C34006"/>
    <w:rsid w:val="00C36B4C"/>
    <w:rsid w:val="00C426B1"/>
    <w:rsid w:val="00C57510"/>
    <w:rsid w:val="00C66160"/>
    <w:rsid w:val="00C721AC"/>
    <w:rsid w:val="00C90D6A"/>
    <w:rsid w:val="00CA247E"/>
    <w:rsid w:val="00CA6D21"/>
    <w:rsid w:val="00CC1B38"/>
    <w:rsid w:val="00CC72B6"/>
    <w:rsid w:val="00D0218D"/>
    <w:rsid w:val="00D25FB5"/>
    <w:rsid w:val="00D44223"/>
    <w:rsid w:val="00DA2529"/>
    <w:rsid w:val="00DB130A"/>
    <w:rsid w:val="00DB2EBB"/>
    <w:rsid w:val="00DB479B"/>
    <w:rsid w:val="00DB785C"/>
    <w:rsid w:val="00DC10A1"/>
    <w:rsid w:val="00DC655F"/>
    <w:rsid w:val="00DD0B59"/>
    <w:rsid w:val="00DD7EBD"/>
    <w:rsid w:val="00DE3D97"/>
    <w:rsid w:val="00DF62B6"/>
    <w:rsid w:val="00E07225"/>
    <w:rsid w:val="00E10181"/>
    <w:rsid w:val="00E26031"/>
    <w:rsid w:val="00E50852"/>
    <w:rsid w:val="00E5409F"/>
    <w:rsid w:val="00E7063D"/>
    <w:rsid w:val="00E708EC"/>
    <w:rsid w:val="00E931CF"/>
    <w:rsid w:val="00EB428C"/>
    <w:rsid w:val="00EC0D94"/>
    <w:rsid w:val="00EC0F96"/>
    <w:rsid w:val="00EE6488"/>
    <w:rsid w:val="00EE7260"/>
    <w:rsid w:val="00F021FA"/>
    <w:rsid w:val="00F62E97"/>
    <w:rsid w:val="00F64209"/>
    <w:rsid w:val="00F93BF5"/>
    <w:rsid w:val="00FA01FF"/>
    <w:rsid w:val="00FA6574"/>
    <w:rsid w:val="00FE2824"/>
    <w:rsid w:val="00FE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EB551"/>
  <w15:chartTrackingRefBased/>
  <w15:docId w15:val="{F9088226-5BEE-4886-B3FD-7431D917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EC"/>
    <w:pPr>
      <w:widowControl w:val="0"/>
    </w:pPr>
    <w:rPr>
      <w:snapToGrid w:val="0"/>
      <w:kern w:val="28"/>
      <w:sz w:val="22"/>
    </w:rPr>
  </w:style>
  <w:style w:type="paragraph" w:styleId="Heading1">
    <w:name w:val="heading 1"/>
    <w:basedOn w:val="Normal"/>
    <w:next w:val="ParaNum0"/>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0"/>
    <w:link w:val="Heading2Char"/>
    <w:autoRedefine/>
    <w:qFormat/>
    <w:rsid w:val="007A1E6D"/>
    <w:pPr>
      <w:keepNext/>
      <w:numPr>
        <w:ilvl w:val="1"/>
        <w:numId w:val="3"/>
      </w:numPr>
      <w:spacing w:after="120"/>
      <w:outlineLvl w:val="1"/>
    </w:pPr>
    <w:rPr>
      <w:b/>
    </w:rPr>
  </w:style>
  <w:style w:type="paragraph" w:styleId="Heading3">
    <w:name w:val="heading 3"/>
    <w:basedOn w:val="Normal"/>
    <w:next w:val="ParaNum0"/>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0"/>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0"/>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0"/>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0"/>
    <w:link w:val="Heading7Char"/>
    <w:qFormat/>
    <w:rsid w:val="00036039"/>
    <w:pPr>
      <w:numPr>
        <w:ilvl w:val="6"/>
        <w:numId w:val="3"/>
      </w:numPr>
      <w:tabs>
        <w:tab w:val="left" w:pos="5040"/>
      </w:tabs>
      <w:spacing w:after="120"/>
      <w:outlineLvl w:val="6"/>
    </w:pPr>
    <w:rPr>
      <w:b/>
    </w:rPr>
  </w:style>
  <w:style w:type="paragraph" w:styleId="Heading8">
    <w:name w:val="heading 8"/>
    <w:basedOn w:val="Normal"/>
    <w:next w:val="ParaNum0"/>
    <w:link w:val="Heading8Char"/>
    <w:qFormat/>
    <w:rsid w:val="001E01CA"/>
    <w:pPr>
      <w:numPr>
        <w:ilvl w:val="7"/>
        <w:numId w:val="3"/>
      </w:numPr>
      <w:tabs>
        <w:tab w:val="clear" w:pos="5400"/>
        <w:tab w:val="left" w:pos="5760"/>
      </w:tabs>
      <w:spacing w:after="120"/>
      <w:outlineLvl w:val="7"/>
    </w:pPr>
    <w:rPr>
      <w:b/>
    </w:rPr>
  </w:style>
  <w:style w:type="paragraph" w:styleId="Heading9">
    <w:name w:val="heading 9"/>
    <w:aliases w:val="9,Heading 9.table,Titre 9,Topic,t,table"/>
    <w:basedOn w:val="Normal"/>
    <w:next w:val="ParaNum0"/>
    <w:link w:val="Heading9Char"/>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0">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2 Char,Footnote Text Char Char2 Char Char Char,Footnote Text Char1,Footnote Text Char1 Char2,Footnote Text Char1 Char2 Char Char,Footnote Text Char1 Char2 Char Char Char Char,fn,footnote text"/>
    <w:link w:val="FootnoteTextChar"/>
    <w:rsid w:val="000E3D42"/>
    <w:pPr>
      <w:spacing w:after="120"/>
    </w:pPr>
  </w:style>
  <w:style w:type="character" w:styleId="FootnoteReference">
    <w:name w:val="footnote reference"/>
    <w:aliases w:val="(NECG) Footnote Reference,-E Funotenzeichen,A,Appel note de bas de p,FR,Footnote Reference/,Footnote Reference1,R,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pPr>
      <w:tabs>
        <w:tab w:val="left" w:pos="360"/>
        <w:tab w:val="right" w:leader="dot" w:pos="9360"/>
      </w:tabs>
      <w:suppressAutoHyphens/>
      <w:ind w:left="360" w:right="720" w:hanging="360"/>
    </w:pPr>
    <w:rPr>
      <w:caps/>
      <w:noProof/>
    </w:rPr>
  </w:style>
  <w:style w:type="paragraph" w:styleId="TOC2">
    <w:name w:val="toc 2"/>
    <w:basedOn w:val="Normal"/>
    <w:next w:val="Normal"/>
    <w:pPr>
      <w:tabs>
        <w:tab w:val="left" w:pos="720"/>
        <w:tab w:val="right" w:leader="dot" w:pos="9360"/>
      </w:tabs>
      <w:suppressAutoHyphens/>
      <w:ind w:left="720" w:right="720" w:hanging="360"/>
    </w:pPr>
    <w:rPr>
      <w:noProof/>
    </w:rPr>
  </w:style>
  <w:style w:type="paragraph" w:styleId="TOC3">
    <w:name w:val="toc 3"/>
    <w:basedOn w:val="Normal"/>
    <w:next w:val="Normal"/>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Revision">
    <w:name w:val="Revision"/>
    <w:hidden/>
    <w:uiPriority w:val="99"/>
    <w:semiHidden/>
    <w:rsid w:val="00E50852"/>
    <w:rPr>
      <w:snapToGrid w:val="0"/>
      <w:kern w:val="28"/>
      <w:sz w:val="22"/>
    </w:rPr>
  </w:style>
  <w:style w:type="character" w:customStyle="1" w:styleId="FootnoteTextChar">
    <w:name w:val="Footnote Text Char"/>
    <w:aliases w:val="Footnote Text Char Char2 Char Char1,Footnote Text Char Char2 Char Char Char Char1,Footnote Text Char1 Char1,Footnote Text Char1 Char2 Char1,Footnote Text Char1 Char2 Char Char Char1,Footnote Text Char1 Char2 Char Char Char Char Char"/>
    <w:link w:val="FootnoteText"/>
    <w:rsid w:val="00E50852"/>
  </w:style>
  <w:style w:type="character" w:styleId="CommentReference">
    <w:name w:val="annotation reference"/>
    <w:uiPriority w:val="99"/>
    <w:rsid w:val="00E50852"/>
    <w:rPr>
      <w:sz w:val="16"/>
      <w:szCs w:val="16"/>
    </w:rPr>
  </w:style>
  <w:style w:type="paragraph" w:styleId="CommentText">
    <w:name w:val="annotation text"/>
    <w:basedOn w:val="Normal"/>
    <w:link w:val="CommentTextChar"/>
    <w:uiPriority w:val="99"/>
    <w:rsid w:val="00E50852"/>
    <w:pPr>
      <w:widowControl/>
      <w:spacing w:after="160" w:line="278" w:lineRule="auto"/>
    </w:pPr>
    <w:rPr>
      <w:rFonts w:ascii="Aptos" w:eastAsia="Aptos" w:hAnsi="Aptos"/>
      <w:snapToGrid/>
      <w:kern w:val="2"/>
      <w:sz w:val="20"/>
      <w:szCs w:val="24"/>
    </w:rPr>
  </w:style>
  <w:style w:type="character" w:customStyle="1" w:styleId="CommentTextChar">
    <w:name w:val="Comment Text Char"/>
    <w:link w:val="CommentText"/>
    <w:uiPriority w:val="99"/>
    <w:rsid w:val="00E50852"/>
    <w:rPr>
      <w:rFonts w:ascii="Aptos" w:eastAsia="Aptos" w:hAnsi="Aptos"/>
      <w:kern w:val="2"/>
      <w:szCs w:val="24"/>
    </w:rPr>
  </w:style>
  <w:style w:type="character" w:customStyle="1" w:styleId="ParaNumChar">
    <w:name w:val="ParaNum Char"/>
    <w:link w:val="ParaNum0"/>
    <w:locked/>
    <w:rsid w:val="00E50852"/>
    <w:rPr>
      <w:snapToGrid w:val="0"/>
      <w:kern w:val="28"/>
      <w:sz w:val="22"/>
    </w:rPr>
  </w:style>
  <w:style w:type="character" w:customStyle="1" w:styleId="Heading1Char">
    <w:name w:val="Heading 1 Char"/>
    <w:link w:val="Heading1"/>
    <w:rsid w:val="00E50852"/>
    <w:rPr>
      <w:rFonts w:ascii="Times New Roman Bold" w:hAnsi="Times New Roman Bold"/>
      <w:b/>
      <w:caps/>
      <w:snapToGrid w:val="0"/>
      <w:kern w:val="28"/>
      <w:sz w:val="22"/>
    </w:rPr>
  </w:style>
  <w:style w:type="paragraph" w:styleId="CommentSubject">
    <w:name w:val="annotation subject"/>
    <w:basedOn w:val="CommentText"/>
    <w:next w:val="CommentText"/>
    <w:link w:val="CommentSubjectChar"/>
    <w:uiPriority w:val="99"/>
    <w:rsid w:val="00E50852"/>
    <w:rPr>
      <w:b/>
      <w:bCs/>
    </w:rPr>
  </w:style>
  <w:style w:type="character" w:customStyle="1" w:styleId="CommentSubjectChar">
    <w:name w:val="Comment Subject Char"/>
    <w:link w:val="CommentSubject"/>
    <w:uiPriority w:val="99"/>
    <w:rsid w:val="00E50852"/>
    <w:rPr>
      <w:rFonts w:ascii="Aptos" w:eastAsia="Aptos" w:hAnsi="Aptos"/>
      <w:b/>
      <w:bCs/>
      <w:kern w:val="2"/>
      <w:szCs w:val="24"/>
    </w:rPr>
  </w:style>
  <w:style w:type="paragraph" w:styleId="ListParagraph">
    <w:name w:val="List Paragraph"/>
    <w:basedOn w:val="Normal"/>
    <w:uiPriority w:val="34"/>
    <w:qFormat/>
    <w:rsid w:val="00E50852"/>
    <w:pPr>
      <w:widowControl/>
      <w:spacing w:after="160" w:line="278" w:lineRule="auto"/>
      <w:ind w:left="720"/>
      <w:contextualSpacing/>
    </w:pPr>
    <w:rPr>
      <w:rFonts w:ascii="Calibri" w:eastAsia="Calibri" w:hAnsi="Calibri"/>
      <w:kern w:val="2"/>
      <w:sz w:val="24"/>
      <w:szCs w:val="24"/>
    </w:rPr>
  </w:style>
  <w:style w:type="character" w:customStyle="1" w:styleId="cf01">
    <w:name w:val="cf01"/>
    <w:rsid w:val="00E50852"/>
    <w:rPr>
      <w:rFonts w:ascii="Segoe UI" w:hAnsi="Segoe UI" w:cs="Segoe UI" w:hint="default"/>
      <w:sz w:val="18"/>
      <w:szCs w:val="18"/>
    </w:rPr>
  </w:style>
  <w:style w:type="character" w:customStyle="1" w:styleId="animating">
    <w:name w:val="animating"/>
    <w:basedOn w:val="DefaultParagraphFont"/>
    <w:rsid w:val="00E50852"/>
  </w:style>
  <w:style w:type="character" w:styleId="Strong">
    <w:name w:val="Strong"/>
    <w:uiPriority w:val="22"/>
    <w:qFormat/>
    <w:rsid w:val="00E50852"/>
    <w:rPr>
      <w:b/>
      <w:bCs/>
    </w:rPr>
  </w:style>
  <w:style w:type="character" w:customStyle="1" w:styleId="Heading3Char">
    <w:name w:val="Heading 3 Char"/>
    <w:link w:val="Heading3"/>
    <w:rsid w:val="00E50852"/>
    <w:rPr>
      <w:b/>
      <w:snapToGrid w:val="0"/>
      <w:kern w:val="28"/>
      <w:sz w:val="22"/>
    </w:rPr>
  </w:style>
  <w:style w:type="character" w:customStyle="1" w:styleId="Heading4Char">
    <w:name w:val="Heading 4 Char"/>
    <w:link w:val="Heading4"/>
    <w:rsid w:val="00E50852"/>
    <w:rPr>
      <w:b/>
      <w:snapToGrid w:val="0"/>
      <w:kern w:val="28"/>
      <w:sz w:val="22"/>
    </w:rPr>
  </w:style>
  <w:style w:type="character" w:customStyle="1" w:styleId="contentpasted0">
    <w:name w:val="contentpasted0"/>
    <w:basedOn w:val="DefaultParagraphFont"/>
    <w:rsid w:val="00E50852"/>
  </w:style>
  <w:style w:type="character" w:styleId="Mention">
    <w:name w:val="Mention"/>
    <w:uiPriority w:val="99"/>
    <w:unhideWhenUsed/>
    <w:rsid w:val="00E50852"/>
    <w:rPr>
      <w:color w:val="2B579A"/>
      <w:shd w:val="clear" w:color="auto" w:fill="E1DFDD"/>
    </w:rPr>
  </w:style>
  <w:style w:type="character" w:styleId="FollowedHyperlink">
    <w:name w:val="FollowedHyperlink"/>
    <w:rsid w:val="00E50852"/>
    <w:rPr>
      <w:color w:val="96607D"/>
      <w:u w:val="single"/>
    </w:rPr>
  </w:style>
  <w:style w:type="character" w:styleId="UnresolvedMention">
    <w:name w:val="Unresolved Mention"/>
    <w:uiPriority w:val="99"/>
    <w:unhideWhenUsed/>
    <w:rsid w:val="00E50852"/>
    <w:rPr>
      <w:color w:val="605E5C"/>
      <w:shd w:val="clear" w:color="auto" w:fill="E1DFDD"/>
    </w:rPr>
  </w:style>
  <w:style w:type="character" w:customStyle="1" w:styleId="cf11">
    <w:name w:val="cf11"/>
    <w:rsid w:val="00E50852"/>
    <w:rPr>
      <w:rFonts w:ascii="Segoe UI" w:hAnsi="Segoe UI" w:cs="Segoe UI" w:hint="default"/>
      <w:i/>
      <w:iCs/>
      <w:sz w:val="18"/>
      <w:szCs w:val="18"/>
    </w:rPr>
  </w:style>
  <w:style w:type="character" w:customStyle="1" w:styleId="documentbody1">
    <w:name w:val="documentbody1"/>
    <w:rsid w:val="00E50852"/>
    <w:rPr>
      <w:rFonts w:ascii="Verdana" w:hAnsi="Verdana" w:hint="default"/>
      <w:sz w:val="19"/>
      <w:szCs w:val="19"/>
      <w:shd w:val="clear" w:color="auto" w:fill="FFFFFF"/>
    </w:rPr>
  </w:style>
  <w:style w:type="character" w:customStyle="1" w:styleId="Footnote">
    <w:name w:val="Footnote"/>
    <w:rsid w:val="00E50852"/>
  </w:style>
  <w:style w:type="paragraph" w:customStyle="1" w:styleId="StyleParaNumItalic1">
    <w:name w:val="Style ParaNum + Italic1"/>
    <w:basedOn w:val="ParaNum0"/>
    <w:link w:val="StyleParaNumItalic1Char"/>
    <w:uiPriority w:val="99"/>
    <w:rsid w:val="00E50852"/>
    <w:pPr>
      <w:widowControl/>
      <w:numPr>
        <w:numId w:val="8"/>
      </w:numPr>
      <w:tabs>
        <w:tab w:val="clear" w:pos="720"/>
        <w:tab w:val="left" w:pos="1440"/>
      </w:tabs>
      <w:spacing w:line="278" w:lineRule="auto"/>
      <w:ind w:left="0" w:firstLine="0"/>
    </w:pPr>
    <w:rPr>
      <w:rFonts w:ascii="Aptos" w:eastAsia="Aptos" w:hAnsi="Aptos"/>
      <w:i/>
      <w:kern w:val="2"/>
      <w:sz w:val="20"/>
      <w:szCs w:val="24"/>
    </w:rPr>
  </w:style>
  <w:style w:type="character" w:customStyle="1" w:styleId="StyleParaNumItalic1Char">
    <w:name w:val="Style ParaNum + Italic1 Char"/>
    <w:link w:val="StyleParaNumItalic1"/>
    <w:uiPriority w:val="99"/>
    <w:locked/>
    <w:rsid w:val="00E50852"/>
    <w:rPr>
      <w:rFonts w:ascii="Aptos" w:eastAsia="Aptos" w:hAnsi="Aptos"/>
      <w:i/>
      <w:snapToGrid w:val="0"/>
      <w:kern w:val="2"/>
      <w:szCs w:val="24"/>
    </w:rPr>
  </w:style>
  <w:style w:type="character" w:customStyle="1" w:styleId="ParaNumChar1">
    <w:name w:val="ParaNum Char1"/>
    <w:locked/>
    <w:rsid w:val="00E50852"/>
    <w:rPr>
      <w:rFonts w:ascii="Times New Roman" w:eastAsia="Times New Roman" w:hAnsi="Times New Roman" w:cs="Times New Roman"/>
      <w:snapToGrid w:val="0"/>
      <w:kern w:val="28"/>
      <w:sz w:val="22"/>
      <w:szCs w:val="20"/>
    </w:rPr>
  </w:style>
  <w:style w:type="character" w:styleId="PlaceholderText">
    <w:name w:val="Placeholder Text"/>
    <w:uiPriority w:val="99"/>
    <w:semiHidden/>
    <w:rsid w:val="00E50852"/>
    <w:rPr>
      <w:color w:val="666666"/>
    </w:rPr>
  </w:style>
  <w:style w:type="character" w:customStyle="1" w:styleId="normaltextrun">
    <w:name w:val="normaltextrun"/>
    <w:basedOn w:val="DefaultParagraphFont"/>
    <w:rsid w:val="00E50852"/>
  </w:style>
  <w:style w:type="character" w:customStyle="1" w:styleId="Heading2Char">
    <w:name w:val="Heading 2 Char"/>
    <w:link w:val="Heading2"/>
    <w:rsid w:val="00E50852"/>
    <w:rPr>
      <w:b/>
      <w:snapToGrid w:val="0"/>
      <w:kern w:val="28"/>
      <w:sz w:val="22"/>
    </w:rPr>
  </w:style>
  <w:style w:type="paragraph" w:customStyle="1" w:styleId="Paranum">
    <w:name w:val="Paranum"/>
    <w:basedOn w:val="ParaNum0"/>
    <w:link w:val="ParanumChar0"/>
    <w:qFormat/>
    <w:rsid w:val="00E50852"/>
    <w:pPr>
      <w:widowControl/>
      <w:numPr>
        <w:numId w:val="7"/>
      </w:numPr>
      <w:spacing w:line="278" w:lineRule="auto"/>
      <w:ind w:left="0" w:firstLine="0"/>
    </w:pPr>
    <w:rPr>
      <w:rFonts w:ascii="Aptos" w:eastAsia="Aptos" w:hAnsi="Aptos"/>
      <w:snapToGrid/>
      <w:kern w:val="2"/>
      <w:sz w:val="24"/>
      <w:szCs w:val="24"/>
    </w:rPr>
  </w:style>
  <w:style w:type="character" w:customStyle="1" w:styleId="ParanumChar0">
    <w:name w:val="Paranum Char"/>
    <w:link w:val="Paranum"/>
    <w:rsid w:val="00E50852"/>
    <w:rPr>
      <w:rFonts w:ascii="Aptos" w:eastAsia="Aptos" w:hAnsi="Aptos"/>
      <w:kern w:val="2"/>
      <w:sz w:val="24"/>
      <w:szCs w:val="24"/>
    </w:rPr>
  </w:style>
  <w:style w:type="character" w:customStyle="1" w:styleId="uv3um">
    <w:name w:val="uv3um"/>
    <w:basedOn w:val="DefaultParagraphFont"/>
    <w:rsid w:val="00E50852"/>
  </w:style>
  <w:style w:type="paragraph" w:styleId="NormalWeb">
    <w:name w:val="Normal (Web)"/>
    <w:basedOn w:val="Normal"/>
    <w:rsid w:val="00E50852"/>
    <w:pPr>
      <w:widowControl/>
      <w:spacing w:after="160" w:line="278" w:lineRule="auto"/>
    </w:pPr>
    <w:rPr>
      <w:rFonts w:ascii="Aptos" w:eastAsia="Aptos" w:hAnsi="Aptos"/>
      <w:snapToGrid/>
      <w:kern w:val="2"/>
      <w:sz w:val="24"/>
      <w:szCs w:val="24"/>
    </w:rPr>
  </w:style>
  <w:style w:type="numbering" w:customStyle="1" w:styleId="NoList1">
    <w:name w:val="No List1"/>
    <w:next w:val="NoList"/>
    <w:uiPriority w:val="99"/>
    <w:semiHidden/>
    <w:unhideWhenUsed/>
    <w:rsid w:val="00E50852"/>
  </w:style>
  <w:style w:type="character" w:customStyle="1" w:styleId="Heading5Char">
    <w:name w:val="Heading 5 Char"/>
    <w:link w:val="Heading5"/>
    <w:rsid w:val="00E50852"/>
    <w:rPr>
      <w:b/>
      <w:snapToGrid w:val="0"/>
      <w:kern w:val="28"/>
      <w:sz w:val="22"/>
    </w:rPr>
  </w:style>
  <w:style w:type="character" w:customStyle="1" w:styleId="Heading6Char">
    <w:name w:val="Heading 6 Char"/>
    <w:link w:val="Heading6"/>
    <w:rsid w:val="00E50852"/>
    <w:rPr>
      <w:b/>
      <w:snapToGrid w:val="0"/>
      <w:kern w:val="28"/>
      <w:sz w:val="22"/>
    </w:rPr>
  </w:style>
  <w:style w:type="character" w:customStyle="1" w:styleId="Heading7Char">
    <w:name w:val="Heading 7 Char"/>
    <w:link w:val="Heading7"/>
    <w:rsid w:val="00E50852"/>
    <w:rPr>
      <w:b/>
      <w:snapToGrid w:val="0"/>
      <w:kern w:val="28"/>
      <w:sz w:val="22"/>
    </w:rPr>
  </w:style>
  <w:style w:type="character" w:customStyle="1" w:styleId="Heading8Char">
    <w:name w:val="Heading 8 Char"/>
    <w:link w:val="Heading8"/>
    <w:rsid w:val="00E50852"/>
    <w:rPr>
      <w:b/>
      <w:snapToGrid w:val="0"/>
      <w:kern w:val="28"/>
      <w:sz w:val="22"/>
    </w:rPr>
  </w:style>
  <w:style w:type="character" w:customStyle="1" w:styleId="Heading9Char">
    <w:name w:val="Heading 9 Char"/>
    <w:aliases w:val="9 Char,Heading 9.table Char,Titre 9 Char,Topic Char,t Char,table Char"/>
    <w:link w:val="Heading9"/>
    <w:rsid w:val="00E50852"/>
    <w:rPr>
      <w:b/>
      <w:snapToGrid w:val="0"/>
      <w:kern w:val="28"/>
      <w:sz w:val="22"/>
    </w:rPr>
  </w:style>
  <w:style w:type="paragraph" w:customStyle="1" w:styleId="Title1">
    <w:name w:val="Title1"/>
    <w:basedOn w:val="Normal"/>
    <w:next w:val="Normal"/>
    <w:uiPriority w:val="10"/>
    <w:qFormat/>
    <w:rsid w:val="00E50852"/>
    <w:pPr>
      <w:widowControl/>
      <w:spacing w:after="80" w:line="278" w:lineRule="auto"/>
      <w:contextualSpacing/>
    </w:pPr>
    <w:rPr>
      <w:rFonts w:ascii="Aptos Display" w:eastAsia="Yu Gothic Light" w:hAnsi="Aptos Display"/>
      <w:spacing w:val="-10"/>
      <w:kern w:val="2"/>
      <w:sz w:val="56"/>
      <w:szCs w:val="56"/>
    </w:rPr>
  </w:style>
  <w:style w:type="character" w:customStyle="1" w:styleId="TitleChar">
    <w:name w:val="Title Char"/>
    <w:link w:val="Title"/>
    <w:uiPriority w:val="10"/>
    <w:rsid w:val="00E50852"/>
    <w:rPr>
      <w:rFonts w:ascii="Aptos Display" w:eastAsia="Yu Gothic Light" w:hAnsi="Aptos Display"/>
      <w:spacing w:val="-10"/>
      <w:kern w:val="28"/>
      <w:sz w:val="56"/>
      <w:szCs w:val="56"/>
    </w:rPr>
  </w:style>
  <w:style w:type="paragraph" w:customStyle="1" w:styleId="Subtitle1">
    <w:name w:val="Subtitle1"/>
    <w:basedOn w:val="Normal"/>
    <w:next w:val="Normal"/>
    <w:uiPriority w:val="11"/>
    <w:qFormat/>
    <w:rsid w:val="00E50852"/>
    <w:pPr>
      <w:widowControl/>
      <w:numPr>
        <w:ilvl w:val="1"/>
      </w:numPr>
      <w:spacing w:after="160" w:line="278" w:lineRule="auto"/>
    </w:pPr>
    <w:rPr>
      <w:rFonts w:ascii="Aptos" w:eastAsia="Yu Gothic Light" w:hAnsi="Aptos"/>
      <w:color w:val="595959"/>
      <w:spacing w:val="15"/>
      <w:kern w:val="2"/>
      <w:sz w:val="28"/>
      <w:szCs w:val="28"/>
    </w:rPr>
  </w:style>
  <w:style w:type="character" w:customStyle="1" w:styleId="SubtitleChar">
    <w:name w:val="Subtitle Char"/>
    <w:link w:val="Subtitle"/>
    <w:uiPriority w:val="11"/>
    <w:rsid w:val="00E50852"/>
    <w:rPr>
      <w:rFonts w:ascii="Aptos" w:eastAsia="Yu Gothic Light" w:hAnsi="Aptos"/>
      <w:snapToGrid w:val="0"/>
      <w:color w:val="595959"/>
      <w:spacing w:val="15"/>
      <w:kern w:val="2"/>
      <w:sz w:val="28"/>
      <w:szCs w:val="28"/>
    </w:rPr>
  </w:style>
  <w:style w:type="paragraph" w:customStyle="1" w:styleId="Quote1">
    <w:name w:val="Quote1"/>
    <w:basedOn w:val="Normal"/>
    <w:next w:val="Normal"/>
    <w:uiPriority w:val="29"/>
    <w:qFormat/>
    <w:rsid w:val="00E50852"/>
    <w:pPr>
      <w:widowControl/>
      <w:spacing w:before="160" w:after="160" w:line="278" w:lineRule="auto"/>
      <w:jc w:val="center"/>
    </w:pPr>
    <w:rPr>
      <w:rFonts w:ascii="Aptos" w:eastAsia="Aptos" w:hAnsi="Aptos" w:cs="Arial"/>
      <w:i/>
      <w:iCs/>
      <w:color w:val="404040"/>
      <w:kern w:val="2"/>
      <w:sz w:val="24"/>
      <w:szCs w:val="24"/>
    </w:rPr>
  </w:style>
  <w:style w:type="character" w:customStyle="1" w:styleId="QuoteChar">
    <w:name w:val="Quote Char"/>
    <w:link w:val="Quote"/>
    <w:uiPriority w:val="29"/>
    <w:rsid w:val="00E50852"/>
    <w:rPr>
      <w:rFonts w:ascii="Aptos" w:eastAsia="Aptos" w:hAnsi="Aptos"/>
      <w:i/>
      <w:iCs/>
      <w:snapToGrid w:val="0"/>
      <w:color w:val="404040"/>
      <w:kern w:val="2"/>
      <w:szCs w:val="24"/>
    </w:rPr>
  </w:style>
  <w:style w:type="character" w:customStyle="1" w:styleId="IntenseEmphasis1">
    <w:name w:val="Intense Emphasis1"/>
    <w:uiPriority w:val="21"/>
    <w:qFormat/>
    <w:rsid w:val="00E50852"/>
    <w:rPr>
      <w:i/>
      <w:iCs/>
      <w:color w:val="0F4761"/>
    </w:rPr>
  </w:style>
  <w:style w:type="paragraph" w:customStyle="1" w:styleId="IntenseQuote1">
    <w:name w:val="Intense Quote1"/>
    <w:basedOn w:val="Normal"/>
    <w:next w:val="Normal"/>
    <w:uiPriority w:val="30"/>
    <w:qFormat/>
    <w:rsid w:val="00E50852"/>
    <w:pPr>
      <w:widowControl/>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IntenseQuoteChar">
    <w:name w:val="Intense Quote Char"/>
    <w:link w:val="IntenseQuote"/>
    <w:uiPriority w:val="30"/>
    <w:rsid w:val="00E50852"/>
    <w:rPr>
      <w:rFonts w:ascii="Aptos" w:eastAsia="Aptos" w:hAnsi="Aptos"/>
      <w:i/>
      <w:iCs/>
      <w:snapToGrid w:val="0"/>
      <w:color w:val="0F4761"/>
      <w:kern w:val="2"/>
      <w:szCs w:val="24"/>
    </w:rPr>
  </w:style>
  <w:style w:type="character" w:customStyle="1" w:styleId="IntenseReference1">
    <w:name w:val="Intense Reference1"/>
    <w:uiPriority w:val="32"/>
    <w:qFormat/>
    <w:rsid w:val="00E50852"/>
    <w:rPr>
      <w:b/>
      <w:bCs/>
      <w:smallCaps/>
      <w:color w:val="0F4761"/>
      <w:spacing w:val="5"/>
    </w:rPr>
  </w:style>
  <w:style w:type="character" w:customStyle="1" w:styleId="HeaderChar">
    <w:name w:val="Header Char"/>
    <w:link w:val="Header"/>
    <w:rsid w:val="00E50852"/>
    <w:rPr>
      <w:b/>
      <w:snapToGrid w:val="0"/>
      <w:kern w:val="28"/>
      <w:sz w:val="22"/>
    </w:rPr>
  </w:style>
  <w:style w:type="paragraph" w:styleId="Title">
    <w:name w:val="Title"/>
    <w:basedOn w:val="Normal"/>
    <w:next w:val="Normal"/>
    <w:link w:val="TitleChar"/>
    <w:uiPriority w:val="10"/>
    <w:qFormat/>
    <w:rsid w:val="00E50852"/>
    <w:pPr>
      <w:widowControl/>
      <w:spacing w:after="160" w:line="278" w:lineRule="auto"/>
      <w:contextualSpacing/>
    </w:pPr>
    <w:rPr>
      <w:rFonts w:ascii="Aptos Display" w:eastAsia="Yu Gothic Light" w:hAnsi="Aptos Display"/>
      <w:snapToGrid/>
      <w:spacing w:val="-10"/>
      <w:sz w:val="56"/>
      <w:szCs w:val="56"/>
    </w:rPr>
  </w:style>
  <w:style w:type="character" w:customStyle="1" w:styleId="TitleChar1">
    <w:name w:val="Title Char1"/>
    <w:rsid w:val="00E50852"/>
    <w:rPr>
      <w:rFonts w:ascii="Aptos Display" w:eastAsia="Times New Roman" w:hAnsi="Aptos Display" w:cs="Times New Roman"/>
      <w:b/>
      <w:bCs/>
      <w:snapToGrid w:val="0"/>
      <w:kern w:val="28"/>
      <w:sz w:val="32"/>
      <w:szCs w:val="32"/>
    </w:rPr>
  </w:style>
  <w:style w:type="paragraph" w:styleId="Subtitle">
    <w:name w:val="Subtitle"/>
    <w:basedOn w:val="Normal"/>
    <w:next w:val="Normal"/>
    <w:link w:val="SubtitleChar"/>
    <w:uiPriority w:val="11"/>
    <w:qFormat/>
    <w:rsid w:val="00E50852"/>
    <w:pPr>
      <w:widowControl/>
      <w:numPr>
        <w:ilvl w:val="1"/>
      </w:numPr>
      <w:spacing w:after="160" w:line="278" w:lineRule="auto"/>
    </w:pPr>
    <w:rPr>
      <w:rFonts w:ascii="Aptos" w:eastAsia="Yu Gothic Light" w:hAnsi="Aptos"/>
      <w:color w:val="595959"/>
      <w:spacing w:val="15"/>
      <w:kern w:val="2"/>
      <w:sz w:val="28"/>
      <w:szCs w:val="28"/>
    </w:rPr>
  </w:style>
  <w:style w:type="character" w:customStyle="1" w:styleId="SubtitleChar1">
    <w:name w:val="Subtitle Char1"/>
    <w:rsid w:val="00E50852"/>
    <w:rPr>
      <w:rFonts w:ascii="Aptos Display" w:eastAsia="Times New Roman" w:hAnsi="Aptos Display" w:cs="Times New Roman"/>
      <w:snapToGrid w:val="0"/>
      <w:kern w:val="28"/>
      <w:sz w:val="24"/>
      <w:szCs w:val="24"/>
    </w:rPr>
  </w:style>
  <w:style w:type="paragraph" w:styleId="Quote">
    <w:name w:val="Quote"/>
    <w:basedOn w:val="Normal"/>
    <w:next w:val="Normal"/>
    <w:link w:val="QuoteChar"/>
    <w:uiPriority w:val="29"/>
    <w:qFormat/>
    <w:rsid w:val="00E50852"/>
    <w:pPr>
      <w:widowControl/>
      <w:spacing w:before="200" w:after="160" w:line="278" w:lineRule="auto"/>
      <w:ind w:left="864" w:right="864"/>
      <w:jc w:val="center"/>
    </w:pPr>
    <w:rPr>
      <w:rFonts w:ascii="Aptos" w:eastAsia="Aptos" w:hAnsi="Aptos"/>
      <w:i/>
      <w:iCs/>
      <w:color w:val="404040"/>
      <w:kern w:val="2"/>
      <w:sz w:val="20"/>
      <w:szCs w:val="24"/>
    </w:rPr>
  </w:style>
  <w:style w:type="character" w:customStyle="1" w:styleId="QuoteChar1">
    <w:name w:val="Quote Char1"/>
    <w:uiPriority w:val="29"/>
    <w:rsid w:val="00E50852"/>
    <w:rPr>
      <w:i/>
      <w:iCs/>
      <w:snapToGrid w:val="0"/>
      <w:color w:val="404040"/>
      <w:kern w:val="28"/>
      <w:sz w:val="22"/>
    </w:rPr>
  </w:style>
  <w:style w:type="character" w:styleId="IntenseEmphasis">
    <w:name w:val="Intense Emphasis"/>
    <w:uiPriority w:val="21"/>
    <w:qFormat/>
    <w:rsid w:val="00E50852"/>
    <w:rPr>
      <w:i/>
      <w:iCs/>
      <w:color w:val="156082"/>
    </w:rPr>
  </w:style>
  <w:style w:type="paragraph" w:styleId="IntenseQuote">
    <w:name w:val="Intense Quote"/>
    <w:basedOn w:val="Normal"/>
    <w:next w:val="Normal"/>
    <w:link w:val="IntenseQuoteChar"/>
    <w:uiPriority w:val="30"/>
    <w:qFormat/>
    <w:rsid w:val="00E50852"/>
    <w:pPr>
      <w:widowControl/>
      <w:pBdr>
        <w:top w:val="single" w:sz="4" w:space="10" w:color="156082"/>
        <w:bottom w:val="single" w:sz="4" w:space="10" w:color="156082"/>
      </w:pBdr>
      <w:spacing w:before="360" w:after="360" w:line="278" w:lineRule="auto"/>
      <w:ind w:left="864" w:right="864"/>
      <w:jc w:val="center"/>
    </w:pPr>
    <w:rPr>
      <w:rFonts w:ascii="Aptos" w:eastAsia="Aptos" w:hAnsi="Aptos"/>
      <w:i/>
      <w:iCs/>
      <w:color w:val="0F4761"/>
      <w:kern w:val="2"/>
      <w:sz w:val="20"/>
      <w:szCs w:val="24"/>
    </w:rPr>
  </w:style>
  <w:style w:type="character" w:customStyle="1" w:styleId="IntenseQuoteChar1">
    <w:name w:val="Intense Quote Char1"/>
    <w:uiPriority w:val="30"/>
    <w:rsid w:val="00E50852"/>
    <w:rPr>
      <w:i/>
      <w:iCs/>
      <w:snapToGrid w:val="0"/>
      <w:color w:val="156082"/>
      <w:kern w:val="28"/>
      <w:sz w:val="22"/>
    </w:rPr>
  </w:style>
  <w:style w:type="character" w:styleId="IntenseReference">
    <w:name w:val="Intense Reference"/>
    <w:uiPriority w:val="32"/>
    <w:qFormat/>
    <w:rsid w:val="00E50852"/>
    <w:rPr>
      <w:b/>
      <w:bCs/>
      <w:smallCaps/>
      <w:color w:val="156082"/>
      <w:spacing w:val="5"/>
    </w:rPr>
  </w:style>
  <w:style w:type="paragraph" w:customStyle="1" w:styleId="Style">
    <w:name w:val="Style"/>
    <w:basedOn w:val="Normal"/>
    <w:rsid w:val="00E50852"/>
    <w:pPr>
      <w:widowControl/>
      <w:spacing w:after="160" w:line="278" w:lineRule="auto"/>
    </w:pPr>
    <w:rPr>
      <w:rFonts w:ascii="Aptos" w:eastAsia="Aptos" w:hAnsi="Aptos"/>
      <w:b/>
      <w:bCs/>
      <w:kern w:val="2"/>
      <w:sz w:val="24"/>
      <w:szCs w:val="24"/>
    </w:rPr>
  </w:style>
  <w:style w:type="paragraph" w:customStyle="1" w:styleId="StyleTimesNewRoman11ptAfter0ptLinespacingDouble">
    <w:name w:val="Style Times New Roman 11 pt After:  0 pt Line spacing:  Double"/>
    <w:basedOn w:val="Normal"/>
    <w:next w:val="Normal"/>
    <w:rsid w:val="00E50852"/>
    <w:pPr>
      <w:widowControl/>
      <w:spacing w:after="160" w:line="278" w:lineRule="auto"/>
    </w:pPr>
    <w:rPr>
      <w:rFonts w:ascii="Aptos" w:eastAsia="Aptos" w:hAnsi="Aptos"/>
      <w:kern w:val="2"/>
      <w:sz w:val="24"/>
      <w:szCs w:val="24"/>
    </w:rPr>
  </w:style>
  <w:style w:type="paragraph" w:styleId="ListBullet">
    <w:name w:val="List Bullet"/>
    <w:basedOn w:val="Normal"/>
    <w:rsid w:val="00E50852"/>
    <w:pPr>
      <w:widowControl/>
      <w:numPr>
        <w:numId w:val="9"/>
      </w:numPr>
      <w:tabs>
        <w:tab w:val="clear" w:pos="360"/>
      </w:tabs>
      <w:spacing w:after="160" w:line="278" w:lineRule="auto"/>
      <w:ind w:left="0" w:firstLine="0"/>
      <w:contextualSpacing/>
    </w:pPr>
    <w:rPr>
      <w:rFonts w:ascii="Aptos" w:eastAsia="Aptos" w:hAnsi="Aptos"/>
      <w:snapToGrid/>
      <w:kern w:val="2"/>
      <w:sz w:val="24"/>
      <w:szCs w:val="24"/>
    </w:rPr>
  </w:style>
  <w:style w:type="paragraph" w:customStyle="1" w:styleId="pf0">
    <w:name w:val="pf0"/>
    <w:basedOn w:val="Normal"/>
    <w:rsid w:val="00E50852"/>
    <w:pPr>
      <w:widowControl/>
      <w:spacing w:before="100" w:beforeAutospacing="1" w:after="100" w:afterAutospacing="1" w:line="278" w:lineRule="auto"/>
    </w:pPr>
    <w:rPr>
      <w:rFonts w:ascii="Aptos" w:eastAsia="Aptos" w:hAnsi="Aptos"/>
      <w:kern w:val="2"/>
      <w:sz w:val="24"/>
      <w:szCs w:val="24"/>
    </w:rPr>
  </w:style>
  <w:style w:type="paragraph" w:styleId="NoSpacing">
    <w:name w:val="No Spacing"/>
    <w:uiPriority w:val="1"/>
    <w:qFormat/>
    <w:rsid w:val="00E50852"/>
    <w:pPr>
      <w:widowControl w:val="0"/>
    </w:pPr>
    <w:rPr>
      <w:snapToGrid w:val="0"/>
      <w:kern w:val="28"/>
      <w:sz w:val="22"/>
    </w:rPr>
  </w:style>
  <w:style w:type="paragraph" w:customStyle="1" w:styleId="StyleAfter6ptLinespacingMultiple116li">
    <w:name w:val="Style After:   6 pt Line spacing:  Multiple 1.16 li"/>
    <w:basedOn w:val="Normal"/>
    <w:rsid w:val="00E50852"/>
    <w:pPr>
      <w:widowControl/>
      <w:spacing w:after="160" w:line="278" w:lineRule="auto"/>
    </w:pPr>
    <w:rPr>
      <w:rFonts w:ascii="Aptos" w:eastAsia="Aptos" w:hAnsi="Aptos"/>
      <w:snapToGrid/>
      <w:kern w:val="2"/>
      <w:sz w:val="24"/>
      <w:szCs w:val="24"/>
    </w:rPr>
  </w:style>
  <w:style w:type="paragraph" w:customStyle="1" w:styleId="StyleAfter6ptLinespacingMultiple116li0">
    <w:name w:val="Style After:  6 pt Line spacing:  Multiple 1.16 li"/>
    <w:basedOn w:val="Normal"/>
    <w:rsid w:val="00E50852"/>
    <w:pPr>
      <w:widowControl/>
      <w:spacing w:after="160" w:line="278" w:lineRule="auto"/>
    </w:pPr>
    <w:rPr>
      <w:rFonts w:ascii="Aptos" w:eastAsia="Aptos" w:hAnsi="Aptos"/>
      <w:snapToGrid/>
      <w:kern w:val="2"/>
      <w:sz w:val="24"/>
      <w:szCs w:val="24"/>
    </w:rPr>
  </w:style>
  <w:style w:type="paragraph" w:customStyle="1" w:styleId="StyleStyleAfter6ptLinespacing">
    <w:name w:val="Style Style After:   6 pt Line spacing:"/>
    <w:basedOn w:val="StyleAfter6ptLinespacingMultiple116li"/>
    <w:rsid w:val="00E50852"/>
    <w:pPr>
      <w:spacing w:after="120"/>
    </w:pPr>
  </w:style>
  <w:style w:type="paragraph" w:customStyle="1" w:styleId="StyleParaNum">
    <w:name w:val="Style ParaNum"/>
    <w:basedOn w:val="ParaNum0"/>
    <w:rsid w:val="00E50852"/>
    <w:pPr>
      <w:widowControl/>
      <w:numPr>
        <w:numId w:val="0"/>
      </w:numPr>
      <w:tabs>
        <w:tab w:val="num" w:pos="1440"/>
      </w:tabs>
      <w:spacing w:line="278" w:lineRule="auto"/>
    </w:pPr>
    <w:rPr>
      <w:rFonts w:ascii="Aptos" w:eastAsia="Aptos" w:hAnsi="Aptos"/>
      <w:snapToGrid/>
      <w:spacing w:val="-2"/>
      <w:kern w:val="2"/>
      <w:sz w:val="24"/>
      <w:szCs w:val="24"/>
    </w:rPr>
  </w:style>
  <w:style w:type="table" w:styleId="TableGrid">
    <w:name w:val="Table Grid"/>
    <w:basedOn w:val="TableNormal"/>
    <w:rsid w:val="00E5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ECGFootnoteReference-EFunotenzeiche">
    <w:name w:val="Style Footnote Reference(NECG) Footnote Reference-E Funotenzeiche..."/>
    <w:rsid w:val="00E50852"/>
    <w:rPr>
      <w:sz w:val="22"/>
    </w:rPr>
  </w:style>
  <w:style w:type="character" w:customStyle="1" w:styleId="StyleFootnoteReferenceNECGFootnoteReference-EFunotenzeiche1">
    <w:name w:val="Style Footnote Reference(NECG) Footnote Reference-E Funotenzeiche...1"/>
    <w:rsid w:val="00E50852"/>
    <w:rPr>
      <w:sz w:val="20"/>
    </w:rPr>
  </w:style>
  <w:style w:type="character" w:customStyle="1" w:styleId="FootnoteTextChar2">
    <w:name w:val="Footnote Text Char2"/>
    <w:aliases w:val="Footnote Text Char Char,Footnote Text Char Char2 Char Char,Footnote Text Char Char2 Char Char Char Char,Footnote Text Char1 Char,Footnote Text Char1 Char2 Char,Footnote Text Char1 Char2 Char Char Char,fn Char,footnote text Char"/>
    <w:rsid w:val="00E70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eb2.westlaw.com/find/default.wl?tf=-1&amp;rs=WLW8.08&amp;referencepositiontype=S&amp;serialnum=1969121124&amp;fn=_top&amp;sv=Split&amp;referenceposition=1157&amp;findtype=Y&amp;tc=-1&amp;ordoc=2011591254&amp;db=350&amp;vr=2.0&amp;rp=%2ffind%2fdefault.wl&amp;mt=Westlaw" TargetMode="External"/><Relationship Id="rId3" Type="http://schemas.openxmlformats.org/officeDocument/2006/relationships/hyperlink" Target="https://web2.westlaw.com/find/default.wl?tf=-1&amp;rs=WLW8.08&amp;serialnum=2007579635&amp;fn=_top&amp;sv=Split&amp;tc=-1&amp;findtype=Y&amp;ordoc=2011591254&amp;db=506&amp;vr=2.0&amp;rp=%2ffind%2fdefault.wl&amp;mt=Westlaw" TargetMode="External"/><Relationship Id="rId7" Type="http://schemas.openxmlformats.org/officeDocument/2006/relationships/hyperlink" Target="https://web2.westlaw.com/find/default.wl?tf=-1&amp;rs=WLW8.08&amp;referencepositiontype=S&amp;serialnum=1969121124&amp;fn=_top&amp;sv=Split&amp;referenceposition=1157&amp;findtype=Y&amp;tc=-1&amp;ordoc=2011591254&amp;db=350&amp;vr=2.0&amp;rp=%2ffind%2fdefault.wl&amp;mt=Westlaw" TargetMode="External"/><Relationship Id="rId2" Type="http://schemas.openxmlformats.org/officeDocument/2006/relationships/hyperlink" Target="https://web2.westlaw.com/find/default.wl?tf=-1&amp;rs=WLW8.08&amp;fn=_top&amp;sv=Split&amp;tc=-1&amp;docname=47CFRS1.3&amp;ordoc=2011591254&amp;findtype=L&amp;db=1000547&amp;vr=2.0&amp;rp=%2ffind%2fdefault.wl&amp;mt=Westlaw" TargetMode="External"/><Relationship Id="rId1" Type="http://schemas.openxmlformats.org/officeDocument/2006/relationships/hyperlink" Target="https://www.fcc.gov/supplychain/coveredlist" TargetMode="External"/><Relationship Id="rId6" Type="http://schemas.openxmlformats.org/officeDocument/2006/relationships/hyperlink" Target="https://web2.westlaw.com/find/default.wl?tf=-1&amp;rs=WLW8.08&amp;referencepositiontype=S&amp;serialnum=2007579635&amp;fn=_top&amp;sv=Split&amp;referenceposition=269&amp;findtype=Y&amp;tc=-1&amp;ordoc=2011591254&amp;db=506&amp;vr=2.0&amp;rp=%2ffind%2fdefault.wl&amp;mt=Westlaw" TargetMode="External"/><Relationship Id="rId5" Type="http://schemas.openxmlformats.org/officeDocument/2006/relationships/hyperlink" Target="https://web2.westlaw.com/find/default.wl?tf=-1&amp;rs=WLW8.08&amp;serialnum=1969121124&amp;fn=_top&amp;sv=Split&amp;tc=-1&amp;findtype=Y&amp;ordoc=2011591254&amp;db=350&amp;vr=2.0&amp;rp=%2ffind%2fdefault.wl&amp;mt=Westlaw" TargetMode="External"/><Relationship Id="rId4" Type="http://schemas.openxmlformats.org/officeDocument/2006/relationships/hyperlink" Target="https://web2.westlaw.com/find/default.wl?tf=-1&amp;rs=WLW8.08&amp;serialnum=1990047144&amp;fn=_top&amp;sv=Split&amp;tc=-1&amp;findtype=Y&amp;ordoc=2011591254&amp;db=350&amp;vr=2.0&amp;rp=%2ffind%2fdefault.wl&amp;mt=West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Paragraph.dot</Template>
  <TotalTime>1</TotalTime>
  <Pages>3</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Baumgartner, Jeff</dc:creator>
  <cp:lastModifiedBy>Baumgartner, Jeff</cp:lastModifiedBy>
  <cp:revision>2</cp:revision>
  <dcterms:created xsi:type="dcterms:W3CDTF">2026-06-10T18:48:00Z</dcterms:created>
  <dcterms:modified xsi:type="dcterms:W3CDTF">2026-06-10T18:48:00Z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2026-06-10T18:48:25Z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4c782f2c-a339-4b29-a272-9e75ce27d8d3</vt:lpwstr>
  </property>
  <property fmtid="{D5CDD505-2E9C-101B-9397-08002B2CF9AE}" pid="8" name="MSIP_Label_2bbab825-a111-45e4-86a1-18cee0005896_ContentBits">
    <vt:lpwstr>2</vt:lpwstr>
  </property>
  <property fmtid="{D5CDD505-2E9C-101B-9397-08002B2CF9AE}" pid="9" name="MSIP_Label_2bbab825-a111-45e4-86a1-18cee0005896_Tag">
    <vt:lpwstr>10, 3, 0, 1</vt:lpwstr>
  </property>
</Properties>
</file>